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b/>
          <w:bCs/>
          <w:color w:val="1F4E79"/>
          <w:sz w:val="48"/>
          <w:szCs w:val="48"/>
        </w:rPr>
        <w:t xml:space="preserve">Asbuilt Documentation</w:t>
      </w:r>
    </w:p>
    <w:p>
      <w:pPr>
        <w:spacing w:after="400"/>
        <w:jc w:val="center"/>
      </w:pPr>
      <w:r>
        <w:rPr>
          <w:i/>
          <w:iCs/>
          <w:color w:val="595959"/>
          <w:sz w:val="22"/>
          <w:szCs w:val="22"/>
        </w:rPr>
        <w:t xml:space="preserve">SunDAT — Process Guide for Uploading and Processing Asbuilt Layouts</w:t>
      </w:r>
    </w:p>
    <w:p>
      <w:pPr>
        <w:pStyle w:val="Heading1"/>
        <w:pBdr>
          <w:bottom w:val="single" w:color="2E74B5" w:sz="6" w:space="4"/>
        </w:pBdr>
        <w:spacing w:after="160" w:before="360"/>
      </w:pPr>
      <w:r>
        <w:rPr>
          <w:b/>
          <w:bCs/>
          <w:color w:val="1F4E79"/>
          <w:sz w:val="30"/>
          <w:szCs w:val="30"/>
        </w:rPr>
        <w:t xml:space="preserve">1. Project Creation</w:t>
      </w:r>
    </w:p>
    <w:p>
      <w:pPr>
        <w:spacing w:after="160" w:line="300"/>
      </w:pPr>
      <w:r>
        <w:rPr>
          <w:sz w:val="22"/>
          <w:szCs w:val="22"/>
        </w:rPr>
        <w:t xml:space="preserve">Create a manual project using a valid latitude and longitude.</w:t>
      </w:r>
    </w:p>
    <w:p>
      <w:pPr>
        <w:pStyle w:val="Heading1"/>
        <w:pBdr>
          <w:bottom w:val="single" w:color="2E74B5" w:sz="6" w:space="4"/>
        </w:pBdr>
        <w:spacing w:after="160" w:before="360"/>
      </w:pPr>
      <w:r>
        <w:rPr>
          <w:b/>
          <w:bCs/>
          <w:color w:val="1F4E79"/>
          <w:sz w:val="30"/>
          <w:szCs w:val="30"/>
        </w:rPr>
        <w:t xml:space="preserve">2. Upload Asbuilt DWG File</w:t>
      </w:r>
    </w:p>
    <w:p>
      <w:pPr>
        <w:spacing w:after="160" w:line="300"/>
      </w:pPr>
      <w:r>
        <w:rPr>
          <w:sz w:val="22"/>
          <w:szCs w:val="22"/>
        </w:rPr>
        <w:t xml:space="preserve">Upload the DWG file using the “Import Asbuilt” option.</w:t>
      </w:r>
    </w:p>
    <w:p>
      <w:pPr>
        <w:spacing w:after="80" w:before="200"/>
        <w:jc w:val="center"/>
      </w:pPr>
      <w:r>
        <w:drawing>
          <wp:inline distT="0" distB="0" distL="0" distR="0">
            <wp:extent cx="5715000" cy="28098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809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iCs/>
          <w:color w:val="595959"/>
          <w:sz w:val="20"/>
          <w:szCs w:val="20"/>
        </w:rPr>
        <w:t xml:space="preserve">Figure 1: Import Asbuilt option</w:t>
      </w:r>
    </w:p>
    <w:p>
      <w:pPr>
        <w:pStyle w:val="Heading2"/>
        <w:spacing w:after="120" w:before="260"/>
      </w:pPr>
      <w:r>
        <w:rPr>
          <w:b/>
          <w:bCs/>
          <w:color w:val="2E74B5"/>
          <w:sz w:val="24"/>
          <w:szCs w:val="24"/>
        </w:rPr>
        <w:t xml:space="preserve">2.1 Step 1 – Boundary and Contour Layer Selection</w:t>
      </w:r>
    </w:p>
    <w:p>
      <w:pPr>
        <w:spacing w:after="160" w:line="300"/>
      </w:pPr>
      <w:r>
        <w:rPr>
          <w:sz w:val="22"/>
          <w:szCs w:val="22"/>
        </w:rPr>
        <w:t xml:space="preserve">After uploading the DWG file, the Step 1 input pop-up appears. The boundary and contour layers should be selected.</w:t>
      </w:r>
    </w:p>
    <w:p>
      <w:pPr>
        <w:spacing w:after="80" w:before="200"/>
        <w:jc w:val="center"/>
      </w:pPr>
      <w:r>
        <w:drawing>
          <wp:inline distT="0" distB="0" distL="0" distR="0">
            <wp:extent cx="5715000" cy="28479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847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iCs/>
          <w:color w:val="595959"/>
          <w:sz w:val="20"/>
          <w:szCs w:val="20"/>
        </w:rPr>
        <w:t xml:space="preserve">Figure 2: Step 1 input – boundary and contour layer selection</w:t>
      </w:r>
    </w:p>
    <w:p>
      <w:pPr>
        <w:spacing w:after="160" w:line="300"/>
      </w:pPr>
      <w:r>
        <w:rPr>
          <w:sz w:val="22"/>
          <w:szCs w:val="22"/>
        </w:rPr>
        <w:t xml:space="preserve">After selecting the boundary and contour layers, click the Next button. This opens the Step 2 input pop-up.</w:t>
      </w:r>
    </w:p>
    <w:p>
      <w:pPr>
        <w:spacing w:after="80" w:before="200"/>
        <w:jc w:val="center"/>
      </w:pPr>
      <w:r>
        <w:drawing>
          <wp:inline distT="0" distB="0" distL="0" distR="0">
            <wp:extent cx="5715000" cy="28479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847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iCs/>
          <w:color w:val="595959"/>
          <w:sz w:val="20"/>
          <w:szCs w:val="20"/>
        </w:rPr>
        <w:t xml:space="preserve">Figure 3: Proceeding to Step 2 input</w:t>
      </w:r>
    </w:p>
    <w:p>
      <w:pPr>
        <w:pStyle w:val="Heading2"/>
        <w:spacing w:after="120" w:before="260"/>
      </w:pPr>
      <w:r>
        <w:rPr>
          <w:b/>
          <w:bCs/>
          <w:color w:val="2E74B5"/>
          <w:sz w:val="24"/>
          <w:szCs w:val="24"/>
        </w:rPr>
        <w:t xml:space="preserve">2.2 Step 2 – Inverter Block Selection</w:t>
      </w:r>
    </w:p>
    <w:p>
      <w:pPr>
        <w:spacing w:after="160" w:line="300"/>
      </w:pPr>
      <w:r>
        <w:rPr>
          <w:sz w:val="22"/>
          <w:szCs w:val="22"/>
        </w:rPr>
        <w:t xml:space="preserve">It is mandatory to select an inverter block name (any option from the available list may be selected). The corresponding SunDAT inverter must then be chosen for the selected inverter block name.</w:t>
      </w:r>
    </w:p>
    <w:p>
      <w:pPr>
        <w:spacing w:after="80" w:before="200"/>
        <w:jc w:val="center"/>
      </w:pPr>
      <w:r>
        <w:drawing>
          <wp:inline distT="0" distB="0" distL="0" distR="0">
            <wp:extent cx="5715000" cy="3048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04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iCs/>
          <w:color w:val="595959"/>
          <w:sz w:val="20"/>
          <w:szCs w:val="20"/>
        </w:rPr>
        <w:t xml:space="preserve">Figure 4: Inverter block and SunDAT inverter selection</w:t>
      </w:r>
    </w:p>
    <w:p>
      <w:pPr>
        <w:pStyle w:val="Heading2"/>
        <w:spacing w:after="120" w:before="260"/>
      </w:pPr>
      <w:r>
        <w:rPr>
          <w:b/>
          <w:bCs/>
          <w:color w:val="2E74B5"/>
          <w:sz w:val="24"/>
          <w:szCs w:val="24"/>
        </w:rPr>
        <w:t xml:space="preserve">2.3 Table and Module Detail Selection</w:t>
      </w:r>
    </w:p>
    <w:p>
      <w:pPr>
        <w:spacing w:after="160" w:line="300"/>
      </w:pPr>
      <w:r>
        <w:rPr>
          <w:sz w:val="22"/>
          <w:szCs w:val="22"/>
        </w:rPr>
        <w:t xml:space="preserve">Once the inverter block and SunDAT inverter are selected, a table and module details table are displayed in the pop-up. This table lists everything the SunDAT app has identified as a “table” from the DWG file — which may occasionally include other components identified incorrectly.</w:t>
      </w:r>
    </w:p>
    <w:p>
      <w:pPr>
        <w:pBdr>
          <w:top w:val="single" w:color="BF9000" w:sz="4" w:space="4"/>
          <w:bottom w:val="single" w:color="BF9000" w:sz="4" w:space="4"/>
          <w:left w:val="single" w:color="BF9000" w:sz="4" w:space="4"/>
          <w:right w:val="single" w:color="BF9000" w:sz="4" w:space="4"/>
        </w:pBdr>
        <w:shd w:fill="FFF2CC" w:val="clear"/>
        <w:spacing w:after="200" w:before="100"/>
      </w:pPr>
      <w:r>
        <w:rPr>
          <w:i/>
          <w:iCs/>
          <w:color w:val="594100"/>
          <w:sz w:val="22"/>
          <w:szCs w:val="22"/>
        </w:rPr>
        <w:t xml:space="preserve">Note: Review the listed items carefully. Unselect any incorrectly identified components and select the correct module for the valid tables.</w:t>
      </w:r>
    </w:p>
    <w:p>
      <w:pPr>
        <w:spacing w:after="80" w:before="200"/>
        <w:jc w:val="center"/>
      </w:pPr>
      <w:r>
        <w:drawing>
          <wp:inline distT="0" distB="0" distL="0" distR="0">
            <wp:extent cx="5715000" cy="28479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847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iCs/>
          <w:color w:val="595959"/>
          <w:sz w:val="20"/>
          <w:szCs w:val="20"/>
        </w:rPr>
        <w:t xml:space="preserve">Figure 5: Table and module details review</w:t>
      </w:r>
    </w:p>
    <w:p>
      <w:pPr>
        <w:pStyle w:val="Heading1"/>
        <w:pBdr>
          <w:bottom w:val="single" w:color="2E74B5" w:sz="6" w:space="4"/>
        </w:pBdr>
        <w:spacing w:after="160" w:before="360"/>
      </w:pPr>
      <w:r>
        <w:rPr>
          <w:b/>
          <w:bCs/>
          <w:color w:val="1F4E79"/>
          <w:sz w:val="30"/>
          <w:szCs w:val="30"/>
        </w:rPr>
        <w:t xml:space="preserve">3. Module Selection</w:t>
      </w:r>
    </w:p>
    <w:p>
      <w:pPr>
        <w:spacing w:after="160" w:line="300"/>
      </w:pPr>
      <w:r>
        <w:rPr>
          <w:sz w:val="22"/>
          <w:szCs w:val="22"/>
        </w:rPr>
        <w:t xml:space="preserve">Select the appropriate module in SunDAT for each selected table, ensuring that the module’s Dim X and Dim Y match the dimensions shown in the table name.</w:t>
      </w:r>
    </w:p>
    <w:p>
      <w:pPr>
        <w:spacing w:after="160" w:line="300"/>
      </w:pPr>
      <w:r>
        <w:rPr>
          <w:sz w:val="22"/>
          <w:szCs w:val="22"/>
        </w:rPr>
        <w:t xml:space="preserve">Module details used in the field are typically provided by the sales team. If the exact module is not available in the SunDAT library, clone a module in the library and set its Dim X and Dim Y to match the module used in the field. Then click the Submit button.</w:t>
      </w:r>
    </w:p>
    <w:p>
      <w:pPr>
        <w:spacing w:after="80" w:before="200"/>
        <w:jc w:val="center"/>
      </w:pPr>
      <w:r>
        <w:drawing>
          <wp:inline distT="0" distB="0" distL="0" distR="0">
            <wp:extent cx="5715000" cy="2857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iCs/>
          <w:color w:val="595959"/>
          <w:sz w:val="20"/>
          <w:szCs w:val="20"/>
        </w:rPr>
        <w:t xml:space="preserve">Figure 6: Module selection and dimension matching</w:t>
      </w:r>
    </w:p>
    <w:p>
      <w:pPr>
        <w:spacing w:after="160" w:line="300"/>
      </w:pPr>
      <w:r>
        <w:rPr>
          <w:sz w:val="22"/>
          <w:szCs w:val="22"/>
        </w:rPr>
        <w:t xml:space="preserve">Once submitted, the layout is uploaded into SunDAT.</w:t>
      </w:r>
    </w:p>
    <w:p>
      <w:pPr>
        <w:spacing w:after="80" w:before="200"/>
        <w:jc w:val="center"/>
      </w:pPr>
      <w:r>
        <w:drawing>
          <wp:inline distT="0" distB="0" distL="0" distR="0">
            <wp:extent cx="5715000" cy="28479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847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iCs/>
          <w:color w:val="595959"/>
          <w:sz w:val="20"/>
          <w:szCs w:val="20"/>
        </w:rPr>
        <w:t xml:space="preserve">Figure 7: Layout uploaded into SunDAT</w:t>
      </w:r>
    </w:p>
    <w:p>
      <w:pPr>
        <w:pStyle w:val="Heading1"/>
        <w:pBdr>
          <w:bottom w:val="single" w:color="2E74B5" w:sz="6" w:space="4"/>
        </w:pBdr>
        <w:spacing w:after="160" w:before="360"/>
      </w:pPr>
      <w:r>
        <w:rPr>
          <w:b/>
          <w:bCs/>
          <w:color w:val="1F4E79"/>
          <w:sz w:val="30"/>
          <w:szCs w:val="30"/>
        </w:rPr>
        <w:t xml:space="preserve">4. Managing the Asbuilt Upload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sz w:val="22"/>
          <w:szCs w:val="22"/>
        </w:rPr>
        <w:t xml:space="preserve">Delete: Use the Asbuilt – Delete button to remove an uploaded Asbuilt.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sz w:val="22"/>
          <w:szCs w:val="22"/>
        </w:rPr>
        <w:t xml:space="preserve">Download Input JSON: Downloading the Asbuilt input JSON provides all details entered in the Step 1 and Step 2 input forms.</w:t>
      </w:r>
    </w:p>
    <w:p>
      <w:pPr>
        <w:spacing w:after="80" w:before="200"/>
        <w:jc w:val="center"/>
      </w:pPr>
      <w:r>
        <w:drawing>
          <wp:inline distT="0" distB="0" distL="0" distR="0">
            <wp:extent cx="5715000" cy="28860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886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iCs/>
          <w:color w:val="595959"/>
          <w:sz w:val="20"/>
          <w:szCs w:val="20"/>
        </w:rPr>
        <w:t xml:space="preserve">Figure 8: Asbuilt delete and download input JSON options</w:t>
      </w:r>
    </w:p>
    <w:p>
      <w:pPr>
        <w:pStyle w:val="Heading1"/>
        <w:pBdr>
          <w:bottom w:val="single" w:color="2E74B5" w:sz="6" w:space="4"/>
        </w:pBdr>
        <w:spacing w:after="160" w:before="360"/>
      </w:pPr>
      <w:r>
        <w:rPr>
          <w:b/>
          <w:bCs/>
          <w:color w:val="1F4E79"/>
          <w:sz w:val="30"/>
          <w:szCs w:val="30"/>
        </w:rPr>
        <w:t xml:space="preserve">5. Generating the Construction Asbuilt JSON</w:t>
      </w:r>
    </w:p>
    <w:p>
      <w:pPr>
        <w:spacing w:after="160" w:line="300"/>
      </w:pPr>
      <w:r>
        <w:rPr>
          <w:sz w:val="22"/>
          <w:szCs w:val="22"/>
        </w:rPr>
        <w:t xml:space="preserve">To generate the construction Asbuilt JSON, navigate to the Plugins menu and open the Asbuilt tab.</w:t>
      </w:r>
    </w:p>
    <w:p>
      <w:pPr>
        <w:spacing w:after="80" w:before="200"/>
        <w:jc w:val="center"/>
      </w:pPr>
      <w:r>
        <w:drawing>
          <wp:inline distT="0" distB="0" distL="0" distR="0">
            <wp:extent cx="5715000" cy="28384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838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iCs/>
          <w:color w:val="595959"/>
          <w:sz w:val="20"/>
          <w:szCs w:val="20"/>
        </w:rPr>
        <w:t xml:space="preserve">Figure 9: Navigating to the Asbuilt tab under Plugins</w:t>
      </w:r>
    </w:p>
    <w:p>
      <w:pPr>
        <w:pStyle w:val="Heading2"/>
        <w:spacing w:after="120" w:before="260"/>
      </w:pPr>
      <w:r>
        <w:rPr>
          <w:b/>
          <w:bCs/>
          <w:color w:val="2E74B5"/>
          <w:sz w:val="24"/>
          <w:szCs w:val="24"/>
        </w:rPr>
        <w:t xml:space="preserve">5.1 Upload Latitude/Longitude CSV</w:t>
      </w:r>
    </w:p>
    <w:p>
      <w:pPr>
        <w:spacing w:after="160" w:line="300"/>
      </w:pPr>
      <w:r>
        <w:rPr>
          <w:sz w:val="22"/>
          <w:szCs w:val="22"/>
        </w:rPr>
        <w:t xml:space="preserve">Upload the latitude/longitude CSV file for the Asbuilt project, which is provided by the Sales Engineering team.</w:t>
      </w:r>
    </w:p>
    <w:p>
      <w:pPr>
        <w:spacing w:after="80" w:before="200"/>
        <w:jc w:val="center"/>
      </w:pPr>
      <w:r>
        <w:drawing>
          <wp:inline distT="0" distB="0" distL="0" distR="0">
            <wp:extent cx="5715000" cy="28479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847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iCs/>
          <w:color w:val="595959"/>
          <w:sz w:val="20"/>
          <w:szCs w:val="20"/>
        </w:rPr>
        <w:t xml:space="preserve">Figure 10: Uploading the lat/long CSV file</w:t>
      </w:r>
    </w:p>
    <w:p>
      <w:pPr>
        <w:pStyle w:val="Heading2"/>
        <w:spacing w:after="120" w:before="260"/>
      </w:pPr>
      <w:r>
        <w:rPr>
          <w:b/>
          <w:bCs/>
          <w:color w:val="2E74B5"/>
          <w:sz w:val="24"/>
          <w:szCs w:val="24"/>
        </w:rPr>
        <w:t xml:space="preserve">5.2 Configuration Check</w:t>
      </w:r>
    </w:p>
    <w:p>
      <w:pPr>
        <w:spacing w:after="160" w:line="300"/>
      </w:pPr>
      <w:r>
        <w:rPr>
          <w:sz w:val="22"/>
          <w:szCs w:val="22"/>
        </w:rPr>
        <w:t xml:space="preserve">After uploading the lat/long CSV file, a configuration check pop-up is displayed with the following details: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sz w:val="22"/>
          <w:szCs w:val="22"/>
        </w:rPr>
        <w:t xml:space="preserve">Unmapped tracker in the active layout: Count of extra trackers present in the layout but not found in the CSV file.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sz w:val="22"/>
          <w:szCs w:val="22"/>
        </w:rPr>
        <w:t xml:space="preserve">Unmapped tracker in the uploaded CSV: Count of extra trackers present in the CSV file but not found in the layout.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sz w:val="22"/>
          <w:szCs w:val="22"/>
        </w:rPr>
        <w:t xml:space="preserve">Mapped trackers: Count of trackers in the layout that match trackers in the CSV file.</w:t>
      </w:r>
    </w:p>
    <w:p>
      <w:pPr>
        <w:spacing w:after="160" w:line="300"/>
      </w:pPr>
      <w:r>
        <w:rPr>
          <w:sz w:val="22"/>
          <w:szCs w:val="22"/>
        </w:rPr>
        <w:t xml:space="preserve">Select the type of tracker used in the layout (Pioneer, Voyager, or Normal), then click Continue.</w:t>
      </w:r>
    </w:p>
    <w:p>
      <w:pPr>
        <w:spacing w:after="80" w:before="200"/>
        <w:jc w:val="center"/>
      </w:pPr>
      <w:r>
        <w:drawing>
          <wp:inline distT="0" distB="0" distL="0" distR="0">
            <wp:extent cx="5715000" cy="2857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iCs/>
          <w:color w:val="595959"/>
          <w:sz w:val="20"/>
          <w:szCs w:val="20"/>
        </w:rPr>
        <w:t xml:space="preserve">Figure 11: Configuration check and tracker type selection</w:t>
      </w:r>
    </w:p>
    <w:p>
      <w:pPr>
        <w:pStyle w:val="Heading2"/>
        <w:spacing w:after="120" w:before="260"/>
      </w:pPr>
      <w:r>
        <w:rPr>
          <w:b/>
          <w:bCs/>
          <w:color w:val="2E74B5"/>
          <w:sz w:val="24"/>
          <w:szCs w:val="24"/>
        </w:rPr>
        <w:t xml:space="preserve">5.3 Download the JSON File</w:t>
      </w:r>
    </w:p>
    <w:p>
      <w:pPr>
        <w:spacing w:after="160" w:line="300"/>
      </w:pPr>
      <w:r>
        <w:rPr>
          <w:sz w:val="22"/>
          <w:szCs w:val="22"/>
        </w:rPr>
        <w:t xml:space="preserve">After completing the configuration check, download the JSON file by selecting the appropriate version. Version numbers are maintained based on how many times the lat/long CSV file has been uploaded.</w:t>
      </w:r>
    </w:p>
    <w:p>
      <w:pPr>
        <w:spacing w:after="80" w:before="200"/>
        <w:jc w:val="center"/>
      </w:pPr>
      <w:r>
        <w:drawing>
          <wp:inline distT="0" distB="0" distL="0" distR="0">
            <wp:extent cx="5715000" cy="28670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867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iCs/>
          <w:color w:val="595959"/>
          <w:sz w:val="20"/>
          <w:szCs w:val="20"/>
        </w:rPr>
        <w:t xml:space="preserve">Figure 12: Selecting the JSON version</w:t>
      </w:r>
    </w:p>
    <w:p>
      <w:pPr>
        <w:spacing w:after="80" w:before="200"/>
        <w:jc w:val="center"/>
      </w:pPr>
      <w:r>
        <w:drawing>
          <wp:inline distT="0" distB="0" distL="0" distR="0">
            <wp:extent cx="5715000" cy="28289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828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iCs/>
          <w:color w:val="595959"/>
          <w:sz w:val="20"/>
          <w:szCs w:val="20"/>
        </w:rPr>
        <w:t xml:space="preserve">Figure 13: Downloading the JSON file</w:t>
      </w:r>
    </w:p>
    <w:p>
      <w:pPr>
        <w:spacing w:after="160" w:line="300"/>
      </w:pPr>
      <w:r>
        <w:rPr>
          <w:sz w:val="22"/>
          <w:szCs w:val="22"/>
        </w:rPr>
        <w:t xml:space="preserve">A sample of the resulting JSON file is shown below.</w:t>
      </w:r>
    </w:p>
    <w:p>
      <w:pPr>
        <w:spacing w:after="80" w:before="200"/>
        <w:jc w:val="center"/>
      </w:pPr>
      <w:r>
        <w:drawing>
          <wp:inline distT="0" distB="0" distL="0" distR="0">
            <wp:extent cx="5715000" cy="30194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019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iCs/>
          <w:color w:val="595959"/>
          <w:sz w:val="20"/>
          <w:szCs w:val="20"/>
        </w:rPr>
        <w:t xml:space="preserve">Figure 14: Sample construction Asbuilt JSON output</w:t>
      </w:r>
    </w:p>
    <w:sectPr>
      <w:headerReference w:type="default" r:id="rId7"/>
      <w:footerReference w:type="default" r:id="rId8"/>
      <w:pgSz w:w="12240" w:h="15840" w:orient="portrait"/>
      <w:pgMar w:top="1080" w:right="1260" w:bottom="108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08080"/>
        <w:sz w:val="18"/>
        <w:szCs w:val="18"/>
      </w:rPr>
      <w:t xml:space="preserve">Page </w:t>
    </w:r>
    <w:r>
      <w:rPr>
        <w:color w:val="808080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color w:val="808080"/>
        <w:sz w:val="18"/>
        <w:szCs w:val="18"/>
      </w:rPr>
      <w:t xml:space="preserve"> of </w:t>
    </w:r>
    <w:r>
      <w:rPr>
        <w:color w:val="808080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BFBFBF" w:sz="4" w:space="4"/>
      </w:pBdr>
      <w:jc w:val="right"/>
    </w:pPr>
    <w:r>
      <w:rPr>
        <w:color w:val="808080"/>
        <w:sz w:val="18"/>
        <w:szCs w:val="18"/>
      </w:rPr>
      <w:t xml:space="preserve">SunDAT — Asbuilt Documentation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d5615974be33df0d685434b586f2dd719abb8fcf.png"/><Relationship Id="rId10" Type="http://schemas.openxmlformats.org/officeDocument/2006/relationships/image" Target="media/c45744034473d678c548e961675f20fd81f6f09d.png"/><Relationship Id="rId11" Type="http://schemas.openxmlformats.org/officeDocument/2006/relationships/image" Target="media/84567b0f32b9e513a1a223078e5cb2100aea5ee1.png"/><Relationship Id="rId12" Type="http://schemas.openxmlformats.org/officeDocument/2006/relationships/image" Target="media/d3b046a972d644d8b4d352a536f1c89140bfb6b7.png"/><Relationship Id="rId13" Type="http://schemas.openxmlformats.org/officeDocument/2006/relationships/image" Target="media/877f18dc33631a6add4abb247e7f5467ef003d80.png"/><Relationship Id="rId14" Type="http://schemas.openxmlformats.org/officeDocument/2006/relationships/image" Target="media/869e8d850b06e1e0fdb2731f9e0cc14e32205a07.png"/><Relationship Id="rId15" Type="http://schemas.openxmlformats.org/officeDocument/2006/relationships/image" Target="media/b54048435eef6ade4acce502d80a90b6cc401b46.png"/><Relationship Id="rId16" Type="http://schemas.openxmlformats.org/officeDocument/2006/relationships/image" Target="media/7092fb64c2581d08fe33ecd442d732cfb7e24484.png"/><Relationship Id="rId17" Type="http://schemas.openxmlformats.org/officeDocument/2006/relationships/image" Target="media/5911aaf3a7ec49cef51a01d1a3fc37355fbf61f0.png"/><Relationship Id="rId18" Type="http://schemas.openxmlformats.org/officeDocument/2006/relationships/image" Target="media/3b284539cb1de13c456e44eb1fd402e964efd6d7.png"/><Relationship Id="rId19" Type="http://schemas.openxmlformats.org/officeDocument/2006/relationships/image" Target="media/ebd533678c31a5815c6f62c0c6d6e5539a6070d3.png"/><Relationship Id="rId20" Type="http://schemas.openxmlformats.org/officeDocument/2006/relationships/image" Target="media/fd99be91dcdb909ba7ef08275f9c58c3da60bc6f.png"/><Relationship Id="rId21" Type="http://schemas.openxmlformats.org/officeDocument/2006/relationships/image" Target="media/81e5bc06a050fcf5bf6a74e03c7e64030a093366.png"/><Relationship Id="rId22" Type="http://schemas.openxmlformats.org/officeDocument/2006/relationships/image" Target="media/720881485b3c1133beb1689cee89c49e4207df77.png"/><Relationship Id="rId23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2026-07-09T05:21:31.085Z</dcterms:created>
  <dcterms:modified xsi:type="dcterms:W3CDTF">2026-07-09T05:21:31.097Z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