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Cambria" w:hAnsi="Cambria"/>
          <w:b/>
          <w:color w:val="1A1A6C"/>
          <w:sz w:val="24"/>
        </w:rPr>
        <w:t>QA10 sp. z o.o.</w:t>
      </w:r>
    </w:p>
    <w:p>
      <w:pPr>
        <w:spacing w:after="0"/>
        <w:jc w:val="right"/>
      </w:pPr>
      <w:r>
        <w:rPr>
          <w:rFonts w:ascii="Cambria" w:hAnsi="Cambria"/>
          <w:color w:val="666666"/>
          <w:sz w:val="16"/>
        </w:rPr>
        <w:t>NIP: 9542906279 | KRS: 0001232199</w:t>
        <w:br/>
        <w:t>ul. Mariacka 37, 40-014 Katowice</w:t>
        <w:br/>
        <w:t>hello@qa10.io</w:t>
      </w:r>
    </w:p>
    <w:p>
      <w:pPr>
        <w:pBdr>
          <w:bottom w:val="single" w:sz="4" w:space="1" w:color="666666"/>
        </w:pBdr>
        <w:spacing w:before="120" w:after="120"/>
      </w:pPr>
    </w:p>
    <w:p/>
    <w:p/>
    <w:p>
      <w:pPr>
        <w:spacing w:after="160"/>
        <w:jc w:val="center"/>
      </w:pPr>
      <w:r>
        <w:rPr>
          <w:rFonts w:ascii="Cambria" w:hAnsi="Cambria"/>
          <w:b/>
          <w:color w:val="1A1A6C"/>
          <w:sz w:val="44"/>
        </w:rPr>
        <w:t>REGULAMIN USŁUGI TERRA.OS</w:t>
      </w:r>
    </w:p>
    <w:p>
      <w:pPr>
        <w:spacing w:after="480"/>
        <w:jc w:val="center"/>
      </w:pPr>
      <w:r>
        <w:rPr>
          <w:rFonts w:ascii="Cambria" w:hAnsi="Cambria"/>
          <w:color w:val="666666"/>
          <w:sz w:val="26"/>
        </w:rPr>
        <w:t>Usługa Monitorowania i Analizy Zamówień Publicznych (Zwiad)</w:t>
        <w:br/>
        <w:t>QA10 sp. z o.o.</w:t>
      </w:r>
    </w:p>
    <w:p>
      <w:pPr>
        <w:spacing w:after="40"/>
        <w:jc w:val="center"/>
      </w:pPr>
      <w:r>
        <w:rPr>
          <w:rFonts w:ascii="Cambria" w:hAnsi="Cambria"/>
          <w:color w:val="666666"/>
          <w:sz w:val="18"/>
        </w:rPr>
        <w:t>Nr dokumentu: TOS-TERRA-2026-001</w:t>
      </w:r>
    </w:p>
    <w:p>
      <w:pPr>
        <w:spacing w:after="40"/>
        <w:jc w:val="center"/>
      </w:pPr>
      <w:r>
        <w:rPr>
          <w:rFonts w:ascii="Cambria" w:hAnsi="Cambria"/>
          <w:color w:val="666666"/>
          <w:sz w:val="18"/>
        </w:rPr>
        <w:t>Wersja: 1.0</w:t>
      </w:r>
    </w:p>
    <w:p>
      <w:pPr>
        <w:spacing w:after="40"/>
        <w:jc w:val="center"/>
      </w:pPr>
      <w:r>
        <w:rPr>
          <w:rFonts w:ascii="Cambria" w:hAnsi="Cambria"/>
          <w:color w:val="666666"/>
          <w:sz w:val="18"/>
        </w:rPr>
        <w:t>Data: 15.07.2026</w:t>
      </w:r>
    </w:p>
    <w:p>
      <w:pPr>
        <w:spacing w:after="40"/>
        <w:jc w:val="center"/>
      </w:pPr>
      <w:r>
        <w:rPr>
          <w:rFonts w:ascii="Cambria" w:hAnsi="Cambria"/>
          <w:color w:val="666666"/>
          <w:sz w:val="18"/>
        </w:rPr>
        <w:t>Status: Obowiązujący</w:t>
      </w:r>
    </w:p>
    <w:p>
      <w:r>
        <w:br w:type="page"/>
      </w:r>
    </w:p>
    <w:p>
      <w:pPr>
        <w:spacing w:before="360" w:after="120"/>
        <w:jc w:val="left"/>
        <w:pBdr>
          <w:bottom w:val="single" w:sz="4" w:space="1" w:color="1A1A6C"/>
        </w:pBdr>
      </w:pPr>
      <w:r>
        <w:rPr>
          <w:rFonts w:ascii="Cambria" w:hAnsi="Cambria"/>
          <w:b/>
          <w:color w:val="1A1A6C"/>
          <w:sz w:val="28"/>
        </w:rPr>
        <w:t>DEFINICJE</w:t>
      </w:r>
    </w:p>
    <w:p>
      <w:pPr>
        <w:spacing w:after="80"/>
        <w:jc w:val="both"/>
      </w:pPr>
      <w:r>
        <w:rPr>
          <w:rFonts w:ascii="Cambria" w:hAnsi="Cambria"/>
          <w:b w:val="0"/>
          <w:i w:val="0"/>
          <w:color w:val="0A0A0F"/>
          <w:sz w:val="20"/>
        </w:rPr>
        <w:t>Użyte w niniejszym Regulaminie pojęcia oznaczają:</w:t>
      </w:r>
    </w:p>
    <w:p>
      <w:pPr>
        <w:spacing w:after="60"/>
        <w:ind w:left="283"/>
        <w:jc w:val="both"/>
      </w:pPr>
      <w:r>
        <w:rPr>
          <w:rFonts w:ascii="Cambria" w:hAnsi="Cambria"/>
          <w:b/>
          <w:sz w:val="20"/>
        </w:rPr>
        <w:t xml:space="preserve">&lt;&lt;Usługodawca&gt;&gt; - </w:t>
      </w:r>
      <w:r>
        <w:rPr>
          <w:rFonts w:ascii="Cambria" w:hAnsi="Cambria"/>
          <w:sz w:val="20"/>
        </w:rPr>
        <w:t>QA10 sp. z o.o., z siedzibą przy ul. Mariacka 37, 40-014 Katowice, wpisana do Rejestru Przedsiębiorców KRS pod numerem 0001232199, NIP 9542906279, REGON 544435060, reprezentowana przez Mateusza Jakimówa (Prezes Zarządu).</w:t>
      </w:r>
    </w:p>
    <w:p>
      <w:pPr>
        <w:spacing w:after="60"/>
        <w:ind w:left="283"/>
        <w:jc w:val="both"/>
      </w:pPr>
      <w:r>
        <w:rPr>
          <w:rFonts w:ascii="Cambria" w:hAnsi="Cambria"/>
          <w:b/>
          <w:sz w:val="20"/>
        </w:rPr>
        <w:t xml:space="preserve">&lt;&lt;Platforma&gt;&gt; - </w:t>
      </w:r>
      <w:r>
        <w:rPr>
          <w:rFonts w:ascii="Cambria" w:hAnsi="Cambria"/>
          <w:sz w:val="20"/>
        </w:rPr>
        <w:t>System teleinformatyczny Terra.OS dostępny pod domeną terra-os.pl, umożliwiający monitorowanie, analizę i zarządzanie ofertami w zamówieniach publicznych.</w:t>
      </w:r>
    </w:p>
    <w:p>
      <w:pPr>
        <w:spacing w:after="60"/>
        <w:ind w:left="283"/>
        <w:jc w:val="both"/>
      </w:pPr>
      <w:r>
        <w:rPr>
          <w:rFonts w:ascii="Cambria" w:hAnsi="Cambria"/>
          <w:b/>
          <w:sz w:val="20"/>
        </w:rPr>
        <w:t xml:space="preserve">&lt;&lt;Moduł Zwiad&gt;&gt; - </w:t>
      </w:r>
      <w:r>
        <w:rPr>
          <w:rFonts w:ascii="Cambria" w:hAnsi="Cambria"/>
          <w:sz w:val="20"/>
        </w:rPr>
        <w:t>Podstawowy moduł Platformy świadczący usługi automatycznego monitorowania Biuletynu Zamówień Publicznych (BZP), semantycznego przeszukiwania przetargów, powiadomień o nowych ogłoszeniach oraz wstępnej analizy dokumentacji przetargowej.</w:t>
      </w:r>
    </w:p>
    <w:p>
      <w:pPr>
        <w:spacing w:after="60"/>
        <w:ind w:left="283"/>
        <w:jc w:val="both"/>
      </w:pPr>
      <w:r>
        <w:rPr>
          <w:rFonts w:ascii="Cambria" w:hAnsi="Cambria"/>
          <w:b/>
          <w:sz w:val="20"/>
        </w:rPr>
        <w:t xml:space="preserve">&lt;&lt;Usługobiorca&gt;&gt; - </w:t>
      </w:r>
      <w:r>
        <w:rPr>
          <w:rFonts w:ascii="Cambria" w:hAnsi="Cambria"/>
          <w:sz w:val="20"/>
        </w:rPr>
        <w:t>Przedsiębiorca lub jednostka organizacyjna, która zawarła Umowę z Usługodawcą i korzysta z Platformy w ramach wykupionego Planu.</w:t>
      </w:r>
    </w:p>
    <w:p>
      <w:pPr>
        <w:spacing w:after="60"/>
        <w:ind w:left="283"/>
        <w:jc w:val="both"/>
      </w:pPr>
      <w:r>
        <w:rPr>
          <w:rFonts w:ascii="Cambria" w:hAnsi="Cambria"/>
          <w:b/>
          <w:sz w:val="20"/>
        </w:rPr>
        <w:t xml:space="preserve">&lt;&lt;Konto&gt;&gt; - </w:t>
      </w:r>
      <w:r>
        <w:rPr>
          <w:rFonts w:ascii="Cambria" w:hAnsi="Cambria"/>
          <w:sz w:val="20"/>
        </w:rPr>
        <w:t>Indywidualne konto Usługobiorcy w Platformie, chroniące dostęp do zasobów i historii przetargów.</w:t>
      </w:r>
    </w:p>
    <w:p>
      <w:pPr>
        <w:spacing w:after="60"/>
        <w:ind w:left="283"/>
        <w:jc w:val="both"/>
      </w:pPr>
      <w:r>
        <w:rPr>
          <w:rFonts w:ascii="Cambria" w:hAnsi="Cambria"/>
          <w:b/>
          <w:sz w:val="20"/>
        </w:rPr>
        <w:t xml:space="preserve">&lt;&lt;Plan&gt;&gt; - </w:t>
      </w:r>
      <w:r>
        <w:rPr>
          <w:rFonts w:ascii="Cambria" w:hAnsi="Cambria"/>
          <w:sz w:val="20"/>
        </w:rPr>
        <w:t>Wariant cenowy usługi określający zakres funkcjonalności i ceny, zgodnie z Cennikiem.</w:t>
      </w:r>
    </w:p>
    <w:p>
      <w:pPr>
        <w:spacing w:after="60"/>
        <w:ind w:left="283"/>
        <w:jc w:val="both"/>
      </w:pPr>
      <w:r>
        <w:rPr>
          <w:rFonts w:ascii="Cambria" w:hAnsi="Cambria"/>
          <w:b/>
          <w:sz w:val="20"/>
        </w:rPr>
        <w:t xml:space="preserve">&lt;&lt;Okres Próbny&gt;&gt; - </w:t>
      </w:r>
      <w:r>
        <w:rPr>
          <w:rFonts w:ascii="Cambria" w:hAnsi="Cambria"/>
          <w:sz w:val="20"/>
        </w:rPr>
        <w:t>Bezpłatny okres 14 dni od aktywacji Konta, uprawniający do pełnego dostępu do Modułu Zwiad.</w:t>
      </w:r>
    </w:p>
    <w:p>
      <w:pPr>
        <w:spacing w:after="60"/>
        <w:ind w:left="283"/>
        <w:jc w:val="both"/>
      </w:pPr>
      <w:r>
        <w:rPr>
          <w:rFonts w:ascii="Cambria" w:hAnsi="Cambria"/>
          <w:b/>
          <w:sz w:val="20"/>
        </w:rPr>
        <w:t xml:space="preserve">&lt;&lt;Regulamin&gt;&gt; - </w:t>
      </w:r>
      <w:r>
        <w:rPr>
          <w:rFonts w:ascii="Cambria" w:hAnsi="Cambria"/>
          <w:sz w:val="20"/>
        </w:rPr>
        <w:t>Niniejszy dokument stanowiący podstawę świadczenia usług przez Usługodawcę.</w:t>
      </w:r>
    </w:p>
    <w:p>
      <w:pPr>
        <w:spacing w:after="60"/>
        <w:ind w:left="283"/>
        <w:jc w:val="both"/>
      </w:pPr>
      <w:r>
        <w:rPr>
          <w:rFonts w:ascii="Cambria" w:hAnsi="Cambria"/>
          <w:b/>
          <w:sz w:val="20"/>
        </w:rPr>
        <w:t xml:space="preserve">&lt;&lt;Cennik&gt;&gt; - </w:t>
      </w:r>
      <w:r>
        <w:rPr>
          <w:rFonts w:ascii="Cambria" w:hAnsi="Cambria"/>
          <w:sz w:val="20"/>
        </w:rPr>
        <w:t>Aktualny cennik usług Platformy, dostępny pod adresem terra-os.pl/pricing, stanowiący integralną część Regulaminu.</w:t>
      </w:r>
    </w:p>
    <w:p>
      <w:pPr>
        <w:spacing w:after="60"/>
        <w:ind w:left="283"/>
        <w:jc w:val="both"/>
      </w:pPr>
      <w:r>
        <w:rPr>
          <w:rFonts w:ascii="Cambria" w:hAnsi="Cambria"/>
          <w:b/>
          <w:sz w:val="20"/>
        </w:rPr>
        <w:t xml:space="preserve">&lt;&lt;Dane Przetargowe&gt;&gt; - </w:t>
      </w:r>
      <w:r>
        <w:rPr>
          <w:rFonts w:ascii="Cambria" w:hAnsi="Cambria"/>
          <w:sz w:val="20"/>
        </w:rPr>
        <w:t>Informacje pobrane przez Platformę ze źródeł publicznych (BZP, TED) dotyczące zamówień publicznych.</w:t>
      </w:r>
    </w:p>
    <w:p>
      <w:pPr>
        <w:spacing w:after="60"/>
        <w:ind w:left="283"/>
        <w:jc w:val="both"/>
      </w:pPr>
      <w:r>
        <w:rPr>
          <w:rFonts w:ascii="Cambria" w:hAnsi="Cambria"/>
          <w:b/>
          <w:sz w:val="20"/>
        </w:rPr>
        <w:t xml:space="preserve">&lt;&lt;Dane Klienta&gt;&gt; - </w:t>
      </w:r>
      <w:r>
        <w:rPr>
          <w:rFonts w:ascii="Cambria" w:hAnsi="Cambria"/>
          <w:sz w:val="20"/>
        </w:rPr>
        <w:t>Dane wprowadzone przez Usługobiorcę do Platformy, w tym dane dotyczące własnych ofert, wyników przetargów, kosztorysów i konfiguracji scoringu.</w:t>
      </w:r>
    </w:p>
    <w:p>
      <w:pPr>
        <w:spacing w:after="60"/>
        <w:ind w:left="283"/>
        <w:jc w:val="both"/>
      </w:pPr>
      <w:r>
        <w:rPr>
          <w:rFonts w:ascii="Cambria" w:hAnsi="Cambria"/>
          <w:b/>
          <w:sz w:val="20"/>
        </w:rPr>
        <w:t xml:space="preserve">&lt;&lt;RODO&gt;&gt; - </w:t>
      </w:r>
      <w:r>
        <w:rPr>
          <w:rFonts w:ascii="Cambria" w:hAnsi="Cambria"/>
          <w:sz w:val="20"/>
        </w:rPr>
        <w:t>Rozporządzenie Parlamentu Europejskiego i Rady (UE) 2016/679 z dnia 27 kwietnia 2016 r.</w:t>
      </w:r>
    </w:p>
    <w:p>
      <w:pPr>
        <w:spacing w:after="60"/>
        <w:ind w:left="283"/>
        <w:jc w:val="both"/>
      </w:pPr>
      <w:r>
        <w:rPr>
          <w:rFonts w:ascii="Cambria" w:hAnsi="Cambria"/>
          <w:b/>
          <w:sz w:val="20"/>
        </w:rPr>
        <w:t xml:space="preserve">&lt;&lt;NIS2&gt;&gt; - </w:t>
      </w:r>
      <w:r>
        <w:rPr>
          <w:rFonts w:ascii="Cambria" w:hAnsi="Cambria"/>
          <w:sz w:val="20"/>
        </w:rPr>
        <w:t>Dyrektywa Parlamentu Europejskiego i Rady (UE) 2022/2555 z dnia 14 grudnia 2022 r. w sprawie środków na rzecz wysokiego wspólnego poziomu cyberbezpieczeństwa.</w:t>
      </w:r>
    </w:p>
    <w:p>
      <w:pPr>
        <w:spacing w:after="60"/>
        <w:ind w:left="283"/>
        <w:jc w:val="both"/>
      </w:pPr>
      <w:r>
        <w:rPr>
          <w:rFonts w:ascii="Cambria" w:hAnsi="Cambria"/>
          <w:b/>
          <w:sz w:val="20"/>
        </w:rPr>
        <w:t xml:space="preserve">&lt;&lt;AI Act&gt;&gt; - </w:t>
      </w:r>
      <w:r>
        <w:rPr>
          <w:rFonts w:ascii="Cambria" w:hAnsi="Cambria"/>
          <w:sz w:val="20"/>
        </w:rPr>
        <w:t>Rozporządzenie Parlamentu Europejskiego i Rady (UE) 2024/1689 z dnia 13 czerwca 2024 r. ustanawiające zharmonizowane przepisy dotyczące sztucznej inteligencji.</w:t>
      </w:r>
    </w:p>
    <w:p>
      <w:pPr>
        <w:spacing w:before="360" w:after="120"/>
        <w:jc w:val="left"/>
        <w:pBdr>
          <w:bottom w:val="single" w:sz="4" w:space="1" w:color="1A1A6C"/>
        </w:pBdr>
      </w:pPr>
      <w:r>
        <w:rPr>
          <w:rFonts w:ascii="Cambria" w:hAnsi="Cambria"/>
          <w:b/>
          <w:color w:val="1A1A6C"/>
          <w:sz w:val="28"/>
        </w:rPr>
        <w:t>§ 1. POSTANOWIENIA OGÓLNE</w:t>
      </w:r>
    </w:p>
    <w:p>
      <w:pPr>
        <w:spacing w:after="80"/>
        <w:jc w:val="both"/>
      </w:pPr>
      <w:r>
        <w:rPr>
          <w:rFonts w:ascii="Cambria" w:hAnsi="Cambria"/>
          <w:b w:val="0"/>
          <w:i w:val="0"/>
          <w:color w:val="0A0A0F"/>
          <w:sz w:val="20"/>
        </w:rPr>
        <w:t>1. Niniejszy Regulamin określa zasady i warunki korzystania z Platformy Terra.OS, w szczególności z Modułu Zwiad, świadczonego przez QA10 sp. z o.o. drogą elektroniczną w rozumieniu ustawy z dnia 18 lipca 2002 r. o świadczeniu usług drogą elektroniczną (t.j. Dz.U. 2020 poz. 344).</w:t>
      </w:r>
    </w:p>
    <w:p>
      <w:pPr>
        <w:spacing w:after="80"/>
        <w:jc w:val="both"/>
      </w:pPr>
      <w:r>
        <w:rPr>
          <w:rFonts w:ascii="Cambria" w:hAnsi="Cambria"/>
          <w:b w:val="0"/>
          <w:i w:val="0"/>
          <w:color w:val="0A0A0F"/>
          <w:sz w:val="20"/>
        </w:rPr>
        <w:t>2. Usługa przeznaczona jest wyłącznie dla przedsiębiorców (B2B) w rozumieniu art. 43¹ Kodeksu cywilnego. Usługodawca nie świadczy usług na rzecz konsumentów w rozumieniu art. 22¹ KC.</w:t>
      </w:r>
    </w:p>
    <w:p>
      <w:pPr>
        <w:spacing w:after="80"/>
        <w:jc w:val="both"/>
      </w:pPr>
      <w:r>
        <w:rPr>
          <w:rFonts w:ascii="Cambria" w:hAnsi="Cambria"/>
          <w:b w:val="0"/>
          <w:i w:val="0"/>
          <w:color w:val="0A0A0F"/>
          <w:sz w:val="20"/>
        </w:rPr>
        <w:t>3. Korzystanie z Platformy jest równoznaczne z akceptacją niniejszego Regulaminu w całości. Regulamin jest dostępny w każdym czasie pod adresem terra-os.pl/terms.</w:t>
      </w:r>
    </w:p>
    <w:p>
      <w:pPr>
        <w:spacing w:after="80"/>
        <w:jc w:val="both"/>
      </w:pPr>
      <w:r>
        <w:rPr>
          <w:rFonts w:ascii="Cambria" w:hAnsi="Cambria"/>
          <w:b w:val="0"/>
          <w:i w:val="0"/>
          <w:color w:val="0A0A0F"/>
          <w:sz w:val="20"/>
        </w:rPr>
        <w:t>4. Usługodawca zastrzega prawo zmiany Regulaminu z zachowaniem 30-dniowego okresu powiadomienia drogą elektroniczną. Kontynuacja korzystania z Platformy po upływie tego okresu stanowi akceptację zmian.</w:t>
      </w:r>
    </w:p>
    <w:p>
      <w:pPr>
        <w:spacing w:after="80"/>
        <w:jc w:val="both"/>
      </w:pPr>
      <w:r>
        <w:rPr>
          <w:rFonts w:ascii="Cambria" w:hAnsi="Cambria"/>
          <w:b w:val="0"/>
          <w:i w:val="0"/>
          <w:color w:val="0A0A0F"/>
          <w:sz w:val="20"/>
        </w:rPr>
        <w:t>5. Usługodawca świadczy usługi na terytorium Rzeczypospolitej Polskiej i Unii Europejskiej. Prawem właściwym dla stosunków wynikających z Regulaminu jest prawo polskie.</w:t>
      </w:r>
    </w:p>
    <w:p>
      <w:pPr>
        <w:spacing w:before="360" w:after="120"/>
        <w:jc w:val="left"/>
        <w:pBdr>
          <w:bottom w:val="single" w:sz="4" w:space="1" w:color="1A1A6C"/>
        </w:pBdr>
      </w:pPr>
      <w:r>
        <w:rPr>
          <w:rFonts w:ascii="Cambria" w:hAnsi="Cambria"/>
          <w:b/>
          <w:color w:val="1A1A6C"/>
          <w:sz w:val="28"/>
        </w:rPr>
        <w:t>§ 2. WARUNKI TECHNICZNE I DOSTĘP</w:t>
      </w:r>
    </w:p>
    <w:p>
      <w:pPr>
        <w:spacing w:after="80"/>
        <w:jc w:val="both"/>
      </w:pPr>
      <w:r>
        <w:rPr>
          <w:rFonts w:ascii="Cambria" w:hAnsi="Cambria"/>
          <w:b w:val="0"/>
          <w:i w:val="0"/>
          <w:color w:val="0A0A0F"/>
          <w:sz w:val="20"/>
        </w:rPr>
        <w:t>1. Do korzystania z Platformy niezbędne jest: (a) urządzenie z dostępem do sieci Internet, (b) przeglądarka internetowa w aktualnej wersji obsługująca JavaScript i Web Storage, (c) aktywny adres poczty elektronicznej, (d) uprawnienia do reprezentowania lub działania w imieniu Usługobiorcy.</w:t>
      </w:r>
    </w:p>
    <w:p>
      <w:pPr>
        <w:spacing w:after="80"/>
        <w:jc w:val="both"/>
      </w:pPr>
      <w:r>
        <w:rPr>
          <w:rFonts w:ascii="Cambria" w:hAnsi="Cambria"/>
          <w:b w:val="0"/>
          <w:i w:val="0"/>
          <w:color w:val="0A0A0F"/>
          <w:sz w:val="20"/>
        </w:rPr>
        <w:t>2. Usługodawca deklaruje dostępność Platformy na poziomie 99,5% w skali miesiąca (SLA), z wyłączeniem planowanych przerw konserwacyjnych (nie częściej niż 2 razy w miesiącu, maks. 4 godziny) oraz zdarzeń niezależnych od Usługodawcy.</w:t>
      </w:r>
    </w:p>
    <w:p>
      <w:pPr>
        <w:spacing w:after="80"/>
        <w:jc w:val="both"/>
      </w:pPr>
      <w:r>
        <w:rPr>
          <w:rFonts w:ascii="Cambria" w:hAnsi="Cambria"/>
          <w:b w:val="0"/>
          <w:i w:val="0"/>
          <w:color w:val="0A0A0F"/>
          <w:sz w:val="20"/>
        </w:rPr>
        <w:t>3. W przypadku niedotrzymania SLA poniżej 99% w danym miesiącu, Usługobiorca uprawniony jest do proporcjonalnego obniżenia opłaty abonamentowej za ten miesiąc (tzw. service credit), pod warunkiem pisemnego zgłoszenia w ciągu 14 dni od końca okresu rozliczeniowego.</w:t>
      </w:r>
    </w:p>
    <w:p>
      <w:pPr>
        <w:spacing w:after="80"/>
        <w:jc w:val="both"/>
      </w:pPr>
      <w:r>
        <w:rPr>
          <w:rFonts w:ascii="Cambria" w:hAnsi="Cambria"/>
          <w:b w:val="0"/>
          <w:i w:val="0"/>
          <w:color w:val="0A0A0F"/>
          <w:sz w:val="20"/>
        </w:rPr>
        <w:t>4. Platforma jest zoptymalizowana dla przeglądarek Chrome 120+, Firefox 120+, Edge 120+, Safari 17+. Usługodawca nie gwarantuje prawidłowego działania w starszych wersjach.</w:t>
      </w:r>
    </w:p>
    <w:p>
      <w:pPr>
        <w:spacing w:before="360" w:after="120"/>
        <w:jc w:val="left"/>
        <w:pBdr>
          <w:bottom w:val="single" w:sz="4" w:space="1" w:color="1A1A6C"/>
        </w:pBdr>
      </w:pPr>
      <w:r>
        <w:rPr>
          <w:rFonts w:ascii="Cambria" w:hAnsi="Cambria"/>
          <w:b/>
          <w:color w:val="1A1A6C"/>
          <w:sz w:val="28"/>
        </w:rPr>
        <w:t>§ 3. REJESTRACJA I OKRES PRÓBNY</w:t>
      </w:r>
    </w:p>
    <w:p>
      <w:pPr>
        <w:spacing w:after="80"/>
        <w:jc w:val="both"/>
      </w:pPr>
      <w:r>
        <w:rPr>
          <w:rFonts w:ascii="Cambria" w:hAnsi="Cambria"/>
          <w:b w:val="0"/>
          <w:i w:val="0"/>
          <w:color w:val="0A0A0F"/>
          <w:sz w:val="20"/>
        </w:rPr>
        <w:t>1. Rejestracja Konta jest możliwa przez formularz rejestracyjny na stronie terra-os.pl po podaniu: nazwy firmy, adresu e-mail osoby rejestrującej, NIP podmiotu oraz hasła.</w:t>
      </w:r>
    </w:p>
    <w:p>
      <w:pPr>
        <w:spacing w:after="80"/>
        <w:jc w:val="both"/>
      </w:pPr>
      <w:r>
        <w:rPr>
          <w:rFonts w:ascii="Cambria" w:hAnsi="Cambria"/>
          <w:b w:val="0"/>
          <w:i w:val="0"/>
          <w:color w:val="0A0A0F"/>
          <w:sz w:val="20"/>
        </w:rPr>
        <w:t>2. Po rejestracji Usługobiorca otrzymuje dostęp do Okresu Próbnego trwającego 14 (czternaście) dni kalendarzowych. W trakcie Okresu Próbnego Usługobiorca ma dostęp do pełnej funkcjonalności Modułu Zwiad bez ograniczeń.</w:t>
      </w:r>
    </w:p>
    <w:p>
      <w:pPr>
        <w:spacing w:after="80"/>
        <w:jc w:val="both"/>
      </w:pPr>
      <w:r>
        <w:rPr>
          <w:rFonts w:ascii="Cambria" w:hAnsi="Cambria"/>
          <w:b w:val="0"/>
          <w:i w:val="0"/>
          <w:color w:val="0A0A0F"/>
          <w:sz w:val="20"/>
        </w:rPr>
        <w:t>3. Okres Próbny nie wymaga podania danych karty płatniczej. Po jego upływie Konto zostaje automatycznie przełączone w tryb ograniczony (brak dostępu do nowych przetargów i alertów), a Usługobiorca informowany jest o możliwości wykupienia Planu.</w:t>
      </w:r>
    </w:p>
    <w:p>
      <w:pPr>
        <w:spacing w:after="80"/>
        <w:jc w:val="both"/>
      </w:pPr>
      <w:r>
        <w:rPr>
          <w:rFonts w:ascii="Cambria" w:hAnsi="Cambria"/>
          <w:b w:val="0"/>
          <w:i w:val="0"/>
          <w:color w:val="0A0A0F"/>
          <w:sz w:val="20"/>
        </w:rPr>
        <w:t>4. Każdy podmiot uprawniony jest do jednorazowego skorzystania z Okresu Próbnego. Próba wielokrotnej rejestracji przez ten sam podmiot (ten sam NIP lub adres e-mail z tą samą domeną) traktowana jest jako naruszenie Regulaminu.</w:t>
      </w:r>
    </w:p>
    <w:p>
      <w:pPr>
        <w:spacing w:after="80"/>
        <w:jc w:val="both"/>
      </w:pPr>
      <w:r>
        <w:rPr>
          <w:rFonts w:ascii="Cambria" w:hAnsi="Cambria"/>
          <w:b w:val="0"/>
          <w:i w:val="0"/>
          <w:color w:val="0A0A0F"/>
          <w:sz w:val="20"/>
        </w:rPr>
        <w:t>5. Usługodawca zastrzega prawo weryfikacji danych rejestracyjnych, w szczególności przez sprawdzenie NIP w rejestrze REGON/BDO.</w:t>
      </w:r>
    </w:p>
    <w:p>
      <w:pPr>
        <w:spacing w:before="360" w:after="120"/>
        <w:jc w:val="left"/>
        <w:pBdr>
          <w:bottom w:val="single" w:sz="4" w:space="1" w:color="1A1A6C"/>
        </w:pBdr>
      </w:pPr>
      <w:r>
        <w:rPr>
          <w:rFonts w:ascii="Cambria" w:hAnsi="Cambria"/>
          <w:b/>
          <w:color w:val="1A1A6C"/>
          <w:sz w:val="28"/>
        </w:rPr>
        <w:t>§ 4. PLANY I CENNIK</w:t>
      </w:r>
    </w:p>
    <w:p>
      <w:pPr>
        <w:spacing w:after="80"/>
        <w:jc w:val="both"/>
      </w:pPr>
      <w:r>
        <w:rPr>
          <w:rFonts w:ascii="Cambria" w:hAnsi="Cambria"/>
          <w:b w:val="0"/>
          <w:i w:val="0"/>
          <w:color w:val="0A0A0F"/>
          <w:sz w:val="20"/>
        </w:rPr>
        <w:t>1. Po upływie Okresu Próbnego dostęp do Modułu Zwiad wymaga wykupienia jednego z następujących Planów: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color="auto" w:fill="1A1A6C"/>
          </w:tcPr>
          <w:p>
            <w:r>
              <w:rPr>
                <w:rFonts w:ascii="Cambria" w:hAnsi="Cambria"/>
                <w:b/>
                <w:color w:val="FFFFFF"/>
                <w:sz w:val="18"/>
              </w:rPr>
              <w:t>Plan</w:t>
            </w:r>
          </w:p>
        </w:tc>
        <w:tc>
          <w:tcPr>
            <w:tcW w:type="dxa" w:w="2280"/>
            <w:shd w:val="clear" w:color="auto" w:fill="1A1A6C"/>
          </w:tcPr>
          <w:p>
            <w:r>
              <w:rPr>
                <w:rFonts w:ascii="Cambria" w:hAnsi="Cambria"/>
                <w:b/>
                <w:color w:val="FFFFFF"/>
                <w:sz w:val="18"/>
              </w:rPr>
              <w:t>Cena miesięczna</w:t>
            </w:r>
          </w:p>
        </w:tc>
        <w:tc>
          <w:tcPr>
            <w:tcW w:type="dxa" w:w="2280"/>
            <w:shd w:val="clear" w:color="auto" w:fill="1A1A6C"/>
          </w:tcPr>
          <w:p>
            <w:r>
              <w:rPr>
                <w:rFonts w:ascii="Cambria" w:hAnsi="Cambria"/>
                <w:b/>
                <w:color w:val="FFFFFF"/>
                <w:sz w:val="18"/>
              </w:rPr>
              <w:t>Cena przy płatności rocznej</w:t>
            </w:r>
          </w:p>
        </w:tc>
        <w:tc>
          <w:tcPr>
            <w:tcW w:type="dxa" w:w="2280"/>
            <w:shd w:val="clear" w:color="auto" w:fill="1A1A6C"/>
          </w:tcPr>
          <w:p>
            <w:r>
              <w:rPr>
                <w:rFonts w:ascii="Cambria" w:hAnsi="Cambria"/>
                <w:b/>
                <w:color w:val="FFFFFF"/>
                <w:sz w:val="18"/>
              </w:rPr>
              <w:t>Warunki</w:t>
            </w:r>
          </w:p>
        </w:tc>
      </w:tr>
      <w:tr>
        <w:tc>
          <w:tcPr>
            <w:tcW w:type="dxa" w:w="2280"/>
          </w:tcPr>
          <w:p>
            <w:r>
              <w:rPr>
                <w:rFonts w:ascii="Cambria" w:hAnsi="Cambria"/>
                <w:sz w:val="18"/>
              </w:rPr>
              <w:t>Zwiad Monthly</w:t>
            </w:r>
          </w:p>
        </w:tc>
        <w:tc>
          <w:tcPr>
            <w:tcW w:type="dxa" w:w="2280"/>
          </w:tcPr>
          <w:p>
            <w:r>
              <w:rPr>
                <w:rFonts w:ascii="Cambria" w:hAnsi="Cambria"/>
                <w:sz w:val="18"/>
              </w:rPr>
              <w:t>120,00 PLN netto / miesiąc</w:t>
            </w:r>
          </w:p>
        </w:tc>
        <w:tc>
          <w:tcPr>
            <w:tcW w:type="dxa" w:w="2280"/>
          </w:tcPr>
          <w:p>
            <w:r>
              <w:rPr>
                <w:rFonts w:ascii="Cambria" w:hAnsi="Cambria"/>
                <w:sz w:val="18"/>
              </w:rPr>
              <w:t>-</w:t>
            </w:r>
          </w:p>
        </w:tc>
        <w:tc>
          <w:tcPr>
            <w:tcW w:type="dxa" w:w="2280"/>
          </w:tcPr>
          <w:p>
            <w:r>
              <w:rPr>
                <w:rFonts w:ascii="Cambria" w:hAnsi="Cambria"/>
                <w:sz w:val="18"/>
              </w:rPr>
              <w:t>Faktura miesięczna. Wypowiedzenie ze skutkiem na koniec miesiąca.</w:t>
            </w:r>
          </w:p>
        </w:tc>
      </w:tr>
      <w:tr>
        <w:tc>
          <w:tcPr>
            <w:tcW w:type="dxa" w:w="2280"/>
          </w:tcPr>
          <w:p>
            <w:r>
              <w:rPr>
                <w:rFonts w:ascii="Cambria" w:hAnsi="Cambria"/>
                <w:sz w:val="18"/>
              </w:rPr>
              <w:t>Zwiad Annual</w:t>
            </w:r>
          </w:p>
        </w:tc>
        <w:tc>
          <w:tcPr>
            <w:tcW w:type="dxa" w:w="2280"/>
          </w:tcPr>
          <w:p>
            <w:r>
              <w:rPr>
                <w:rFonts w:ascii="Cambria" w:hAnsi="Cambria"/>
                <w:sz w:val="18"/>
              </w:rPr>
              <w:t>50,00 PLN netto / miesiąc</w:t>
            </w:r>
          </w:p>
        </w:tc>
        <w:tc>
          <w:tcPr>
            <w:tcW w:type="dxa" w:w="2280"/>
          </w:tcPr>
          <w:p>
            <w:r>
              <w:rPr>
                <w:rFonts w:ascii="Cambria" w:hAnsi="Cambria"/>
                <w:sz w:val="18"/>
              </w:rPr>
              <w:t>600,00 PLN netto / rok (płatne z góry)</w:t>
            </w:r>
          </w:p>
        </w:tc>
        <w:tc>
          <w:tcPr>
            <w:tcW w:type="dxa" w:w="2280"/>
          </w:tcPr>
          <w:p>
            <w:r>
              <w:rPr>
                <w:rFonts w:ascii="Cambria" w:hAnsi="Cambria"/>
                <w:sz w:val="18"/>
              </w:rPr>
              <w:t>Faktura roczna. Brak zwrotu za niewykorzystane miesiące.</w:t>
            </w:r>
          </w:p>
        </w:tc>
      </w:tr>
    </w:tbl>
    <w:p/>
    <w:p>
      <w:pPr>
        <w:spacing w:after="80"/>
        <w:jc w:val="both"/>
      </w:pPr>
      <w:r>
        <w:rPr>
          <w:rFonts w:ascii="Cambria" w:hAnsi="Cambria"/>
          <w:b w:val="0"/>
          <w:i w:val="0"/>
          <w:color w:val="0A0A0F"/>
          <w:sz w:val="20"/>
        </w:rPr>
        <w:t>2. Podane ceny są cenami netto i nie zawierają podatku VAT. Do cen netto doliczany jest podatek VAT według stawki obowiązującej w dniu wystawienia faktury.</w:t>
      </w:r>
    </w:p>
    <w:p>
      <w:pPr>
        <w:spacing w:after="80"/>
        <w:jc w:val="both"/>
      </w:pPr>
      <w:r>
        <w:rPr>
          <w:rFonts w:ascii="Cambria" w:hAnsi="Cambria"/>
          <w:b w:val="0"/>
          <w:i w:val="0"/>
          <w:color w:val="0A0A0F"/>
          <w:sz w:val="20"/>
        </w:rPr>
        <w:t>3. Aktualne ceny oraz szczegółowe opisy Planów są dostępne pod adresem terra-os.pl/pricing. Usługodawca zastrzega prawo zmiany cen z zachowaniem 30-dniowego okresu powiadomienia dla aktywnych Usługobiorców.</w:t>
      </w:r>
    </w:p>
    <w:p>
      <w:pPr>
        <w:spacing w:after="80"/>
        <w:jc w:val="both"/>
      </w:pPr>
      <w:r>
        <w:rPr>
          <w:rFonts w:ascii="Cambria" w:hAnsi="Cambria"/>
          <w:b w:val="0"/>
          <w:i w:val="0"/>
          <w:color w:val="0A0A0F"/>
          <w:sz w:val="20"/>
        </w:rPr>
        <w:t>4. Plan Zwiad Annual wiąże Usługobiorcę na okres 12 miesięcy od dnia płatności. Wcześniejsze wypowiedzenie jest niedopuszczalne - opłata roczna nie podlega zwrotowi proporcjonalnemu z tytułu wcześniejszej rezygnacji, chyba że Usługodawca w sposób istotny naruszy warunki Regulaminu.</w:t>
      </w:r>
    </w:p>
    <w:p>
      <w:pPr>
        <w:spacing w:after="80"/>
        <w:jc w:val="both"/>
      </w:pPr>
      <w:r>
        <w:rPr>
          <w:rFonts w:ascii="Cambria" w:hAnsi="Cambria"/>
          <w:b w:val="0"/>
          <w:i w:val="0"/>
          <w:color w:val="0A0A0F"/>
          <w:sz w:val="20"/>
        </w:rPr>
        <w:t>5. Po upływie okresu abonamentowego (rocznego lub miesięcznego) umowa ulega automatycznemu przedłużeniu na taki sam okres, chyba że Usługobiorca wypowie umowę przed końcem bieżącego okresu (miesięczny: 7 dni przed końcem; roczny: 30 dni przed końcem).</w:t>
      </w:r>
    </w:p>
    <w:p>
      <w:pPr>
        <w:spacing w:before="360" w:after="120"/>
        <w:jc w:val="left"/>
        <w:pBdr>
          <w:bottom w:val="single" w:sz="4" w:space="1" w:color="1A1A6C"/>
        </w:pBdr>
      </w:pPr>
      <w:r>
        <w:rPr>
          <w:rFonts w:ascii="Cambria" w:hAnsi="Cambria"/>
          <w:b/>
          <w:color w:val="1A1A6C"/>
          <w:sz w:val="28"/>
        </w:rPr>
        <w:t>§ 5. PŁATNOŚCI</w:t>
      </w:r>
    </w:p>
    <w:p>
      <w:pPr>
        <w:spacing w:after="80"/>
        <w:jc w:val="both"/>
      </w:pPr>
      <w:r>
        <w:rPr>
          <w:rFonts w:ascii="Cambria" w:hAnsi="Cambria"/>
          <w:b w:val="0"/>
          <w:i w:val="0"/>
          <w:color w:val="0A0A0F"/>
          <w:sz w:val="20"/>
        </w:rPr>
        <w:t>1. Płatności realizowane są przez system płatności elektronicznych (Stripe, Inc.) w sposób wskazany w panelu Konta.</w:t>
      </w:r>
    </w:p>
    <w:p>
      <w:pPr>
        <w:spacing w:after="80"/>
        <w:jc w:val="both"/>
      </w:pPr>
      <w:r>
        <w:rPr>
          <w:rFonts w:ascii="Cambria" w:hAnsi="Cambria"/>
          <w:b w:val="0"/>
          <w:i w:val="0"/>
          <w:color w:val="0A0A0F"/>
          <w:sz w:val="20"/>
        </w:rPr>
        <w:t>2. Faktura VAT wystawiana jest automatycznie po dokonaniu płatności i dostarczana na adres e-mail podany przy rejestracji.</w:t>
      </w:r>
    </w:p>
    <w:p>
      <w:pPr>
        <w:spacing w:after="80"/>
        <w:jc w:val="both"/>
      </w:pPr>
      <w:r>
        <w:rPr>
          <w:rFonts w:ascii="Cambria" w:hAnsi="Cambria"/>
          <w:b w:val="0"/>
          <w:i w:val="0"/>
          <w:color w:val="0A0A0F"/>
          <w:sz w:val="20"/>
        </w:rPr>
        <w:t>3. W przypadku opóźnienia w płatności przekraczającego 7 dni, Usługodawca uprawniony jest do: (a) zawieszenia Konta, (b) naliczenia odsetek ustawowych za opóźnienie w transakcjach handlowych (art. 4 ustawy z dnia 8 marca 2013 r. o przeciwdziałaniu nadmiernym opóźnieniom w transakcjach handlowych), (c) dochodzenia rekompensaty za koszty odzyskiwania należności zgodnie z art. 10 tej ustawy.</w:t>
      </w:r>
    </w:p>
    <w:p>
      <w:pPr>
        <w:spacing w:after="80"/>
        <w:jc w:val="both"/>
      </w:pPr>
      <w:r>
        <w:rPr>
          <w:rFonts w:ascii="Cambria" w:hAnsi="Cambria"/>
          <w:b w:val="0"/>
          <w:i w:val="0"/>
          <w:color w:val="0A0A0F"/>
          <w:sz w:val="20"/>
        </w:rPr>
        <w:t>4. Usługodawca zastrzega prawo do wstrzymania dostępu do Platformy po 14 dniach bezskutecznego wezwania do zapłaty i usunięcia Konta po 30 dniach. Usługobiorca traci wówczas dostęp do Danych Klienta przechowywanych na Platformie.</w:t>
      </w:r>
    </w:p>
    <w:p>
      <w:pPr>
        <w:spacing w:before="360" w:after="120"/>
        <w:jc w:val="left"/>
        <w:pBdr>
          <w:bottom w:val="single" w:sz="4" w:space="1" w:color="1A1A6C"/>
        </w:pBdr>
      </w:pPr>
      <w:r>
        <w:rPr>
          <w:rFonts w:ascii="Cambria" w:hAnsi="Cambria"/>
          <w:b/>
          <w:color w:val="1A1A6C"/>
          <w:sz w:val="28"/>
        </w:rPr>
        <w:t>§ 6. ZAKRES USŁUGI ZWIAD</w:t>
      </w:r>
    </w:p>
    <w:p>
      <w:pPr>
        <w:spacing w:after="80"/>
        <w:jc w:val="both"/>
      </w:pPr>
      <w:r>
        <w:rPr>
          <w:rFonts w:ascii="Cambria" w:hAnsi="Cambria"/>
          <w:b w:val="0"/>
          <w:i w:val="0"/>
          <w:color w:val="0A0A0F"/>
          <w:sz w:val="20"/>
        </w:rPr>
        <w:t>W ramach aktywnego Planu Zwiad Usługobiorca otrzymuje dostęp do następujących funkcjonalności:</w:t>
      </w:r>
    </w:p>
    <w:p>
      <w:pPr>
        <w:pStyle w:val="ListBullet"/>
        <w:spacing w:after="40"/>
        <w:ind w:left="283"/>
      </w:pPr>
      <w:r>
        <w:rPr>
          <w:rFonts w:ascii="Cambria" w:hAnsi="Cambria"/>
          <w:color w:val="0A0A0F"/>
          <w:sz w:val="20"/>
        </w:rPr>
        <w:t>Automatyczne monitorowanie Biuletynu Zamówień Publicznych (BZP) i Dziennika Urzędowego UE (TED) - synchronizacja co 24 godziny.</w:t>
      </w:r>
    </w:p>
    <w:p>
      <w:pPr>
        <w:pStyle w:val="ListBullet"/>
        <w:spacing w:after="40"/>
        <w:ind w:left="283"/>
      </w:pPr>
      <w:r>
        <w:rPr>
          <w:rFonts w:ascii="Cambria" w:hAnsi="Cambria"/>
          <w:color w:val="0A0A0F"/>
          <w:sz w:val="20"/>
        </w:rPr>
        <w:t>Semantyczne wyszukiwanie przetargów z użyciem modelu embeddings dopasowanego do języka polskiego (przeszukiwanie po treści SWZ, nie tylko słowach kluczowych).</w:t>
      </w:r>
    </w:p>
    <w:p>
      <w:pPr>
        <w:pStyle w:val="ListBullet"/>
        <w:spacing w:after="40"/>
        <w:ind w:left="283"/>
      </w:pPr>
      <w:r>
        <w:rPr>
          <w:rFonts w:ascii="Cambria" w:hAnsi="Cambria"/>
          <w:color w:val="0A0A0F"/>
          <w:sz w:val="20"/>
        </w:rPr>
        <w:t>Konfigurowalny scoring przetargów wg kryteriów: kody CPV, wartość, region, termin składania - algorytm scoringowy oparty o ważone kryteria zdefiniowane przez Usługobiorcę.</w:t>
      </w:r>
    </w:p>
    <w:p>
      <w:pPr>
        <w:pStyle w:val="ListBullet"/>
        <w:spacing w:after="40"/>
        <w:ind w:left="283"/>
      </w:pPr>
      <w:r>
        <w:rPr>
          <w:rFonts w:ascii="Cambria" w:hAnsi="Cambria"/>
          <w:color w:val="0A0A0F"/>
          <w:sz w:val="20"/>
        </w:rPr>
        <w:t>Alerty e-mail i push (PWA) o nowych przetargach spełniających kryteria scoringu.</w:t>
      </w:r>
    </w:p>
    <w:p>
      <w:pPr>
        <w:pStyle w:val="ListBullet"/>
        <w:spacing w:after="40"/>
        <w:ind w:left="283"/>
      </w:pPr>
      <w:r>
        <w:rPr>
          <w:rFonts w:ascii="Cambria" w:hAnsi="Cambria"/>
          <w:color w:val="0A0A0F"/>
          <w:sz w:val="20"/>
        </w:rPr>
        <w:t>Podgląd i pobieranie dokumentacji przetargowej (SWZ, SIWZ, rysunki, przedmiary).</w:t>
      </w:r>
    </w:p>
    <w:p>
      <w:pPr>
        <w:pStyle w:val="ListBullet"/>
        <w:spacing w:after="40"/>
        <w:ind w:left="283"/>
      </w:pPr>
      <w:r>
        <w:rPr>
          <w:rFonts w:ascii="Cambria" w:hAnsi="Cambria"/>
          <w:color w:val="0A0A0F"/>
          <w:sz w:val="20"/>
        </w:rPr>
        <w:t>Historia przetargów i archiwum własnych decyzji (złożono ofertę / nie złożono / wynik).</w:t>
      </w:r>
    </w:p>
    <w:p>
      <w:pPr>
        <w:pStyle w:val="ListBullet"/>
        <w:spacing w:after="40"/>
        <w:ind w:left="283"/>
      </w:pPr>
      <w:r>
        <w:rPr>
          <w:rFonts w:ascii="Cambria" w:hAnsi="Cambria"/>
          <w:color w:val="0A0A0F"/>
          <w:sz w:val="20"/>
        </w:rPr>
        <w:t>Wstępna analiza ryzyka SWZ z identyfikacją klauzul dotyczących: kar umownych, waloryzacji, solidarnej odpowiedzialności, ryczałtu.</w:t>
      </w:r>
    </w:p>
    <w:p>
      <w:pPr>
        <w:pStyle w:val="ListBullet"/>
        <w:spacing w:after="40"/>
        <w:ind w:left="283"/>
      </w:pPr>
      <w:r>
        <w:rPr>
          <w:rFonts w:ascii="Cambria" w:hAnsi="Cambria"/>
          <w:color w:val="0A0A0F"/>
          <w:sz w:val="20"/>
        </w:rPr>
        <w:t>Eksport danych do formatów CSV i XLSX.</w:t>
      </w:r>
    </w:p>
    <w:p>
      <w:pPr>
        <w:pStyle w:val="ListBullet"/>
        <w:spacing w:after="40"/>
        <w:ind w:left="283"/>
      </w:pPr>
      <w:r>
        <w:rPr>
          <w:rFonts w:ascii="Cambria" w:hAnsi="Cambria"/>
          <w:color w:val="0A0A0F"/>
          <w:sz w:val="20"/>
        </w:rPr>
        <w:t>Panel analityki - funnel decyzyjny, scoring historyczny, mapa CPV.</w:t>
      </w:r>
    </w:p>
    <w:p>
      <w:pPr>
        <w:spacing w:after="80"/>
        <w:jc w:val="both"/>
      </w:pPr>
      <w:r>
        <w:rPr>
          <w:rFonts w:ascii="Cambria" w:hAnsi="Cambria"/>
          <w:b w:val="0"/>
          <w:i w:val="0"/>
          <w:color w:val="0A0A0F"/>
          <w:sz w:val="20"/>
        </w:rPr>
        <w:t>Zakres usługi może być rozszerzony przez Usługodawcę. Dodanie nowych funkcji nie stanowi zmiany Regulaminu.</w:t>
      </w:r>
    </w:p>
    <w:p>
      <w:pPr>
        <w:spacing w:before="360" w:after="120"/>
        <w:jc w:val="left"/>
        <w:pBdr>
          <w:bottom w:val="single" w:sz="4" w:space="1" w:color="1A1A6C"/>
        </w:pBdr>
      </w:pPr>
      <w:r>
        <w:rPr>
          <w:rFonts w:ascii="Cambria" w:hAnsi="Cambria"/>
          <w:b/>
          <w:color w:val="1A1A6C"/>
          <w:sz w:val="28"/>
        </w:rPr>
        <w:t>§ 7. OGRANICZENIA I ZAKAZY</w:t>
      </w:r>
    </w:p>
    <w:p>
      <w:pPr>
        <w:spacing w:after="80"/>
        <w:jc w:val="both"/>
      </w:pPr>
      <w:r>
        <w:rPr>
          <w:rFonts w:ascii="Cambria" w:hAnsi="Cambria"/>
          <w:b w:val="0"/>
          <w:i w:val="0"/>
          <w:color w:val="0A0A0F"/>
          <w:sz w:val="20"/>
        </w:rPr>
        <w:t>1. Usługobiorca zobowiązuje się korzystać z Platformy zgodnie z jej przeznaczeniem, przepisami prawa oraz niniejszym Regulaminem.</w:t>
      </w:r>
    </w:p>
    <w:p>
      <w:pPr>
        <w:spacing w:after="80"/>
        <w:jc w:val="both"/>
      </w:pPr>
      <w:r>
        <w:rPr>
          <w:rFonts w:ascii="Cambria" w:hAnsi="Cambria"/>
          <w:b w:val="0"/>
          <w:i w:val="0"/>
          <w:color w:val="0A0A0F"/>
          <w:sz w:val="20"/>
        </w:rPr>
        <w:t>2. Zabrania się w szczególności:</w:t>
      </w:r>
    </w:p>
    <w:p>
      <w:pPr>
        <w:pStyle w:val="ListBullet"/>
        <w:spacing w:after="40"/>
        <w:ind w:left="283"/>
      </w:pPr>
      <w:r>
        <w:rPr>
          <w:rFonts w:ascii="Cambria" w:hAnsi="Cambria"/>
          <w:color w:val="0A0A0F"/>
          <w:sz w:val="20"/>
        </w:rPr>
        <w:t>Automatycznego, masowego pobierania danych z Platformy (scraping) w sposób naruszający jej integralność lub generujący nienormalne obciążenie serwerów.</w:t>
      </w:r>
    </w:p>
    <w:p>
      <w:pPr>
        <w:pStyle w:val="ListBullet"/>
        <w:spacing w:after="40"/>
        <w:ind w:left="283"/>
      </w:pPr>
      <w:r>
        <w:rPr>
          <w:rFonts w:ascii="Cambria" w:hAnsi="Cambria"/>
          <w:color w:val="0A0A0F"/>
          <w:sz w:val="20"/>
        </w:rPr>
        <w:t>Udostępniania danych dostępowych (login/hasło) osobom trzecim spoza organizacji Usługobiorcy.</w:t>
      </w:r>
    </w:p>
    <w:p>
      <w:pPr>
        <w:pStyle w:val="ListBullet"/>
        <w:spacing w:after="40"/>
        <w:ind w:left="283"/>
      </w:pPr>
      <w:r>
        <w:rPr>
          <w:rFonts w:ascii="Cambria" w:hAnsi="Cambria"/>
          <w:color w:val="0A0A0F"/>
          <w:sz w:val="20"/>
        </w:rPr>
        <w:t>Używania Platformy do celów sprzecznych z prawem, w tym do zbierania i przetwarzania danych osobowych bez podstawy prawnej.</w:t>
      </w:r>
    </w:p>
    <w:p>
      <w:pPr>
        <w:pStyle w:val="ListBullet"/>
        <w:spacing w:after="40"/>
        <w:ind w:left="283"/>
      </w:pPr>
      <w:r>
        <w:rPr>
          <w:rFonts w:ascii="Cambria" w:hAnsi="Cambria"/>
          <w:color w:val="0A0A0F"/>
          <w:sz w:val="20"/>
        </w:rPr>
        <w:t>Podejmowania prób obejścia mechanizmów autoryzacji, rate-limitingu lub innych środków bezpieczeństwa Platformy.</w:t>
      </w:r>
    </w:p>
    <w:p>
      <w:pPr>
        <w:pStyle w:val="ListBullet"/>
        <w:spacing w:after="40"/>
        <w:ind w:left="283"/>
      </w:pPr>
      <w:r>
        <w:rPr>
          <w:rFonts w:ascii="Cambria" w:hAnsi="Cambria"/>
          <w:color w:val="0A0A0F"/>
          <w:sz w:val="20"/>
        </w:rPr>
        <w:t>Odsprzedaży, sublicencjonowania lub udostępniania dostępu do Platformy osobom trzecim bez pisemnej zgody Usługodawcy.</w:t>
      </w:r>
    </w:p>
    <w:p>
      <w:pPr>
        <w:pStyle w:val="ListBullet"/>
        <w:spacing w:after="40"/>
        <w:ind w:left="283"/>
      </w:pPr>
      <w:r>
        <w:rPr>
          <w:rFonts w:ascii="Cambria" w:hAnsi="Cambria"/>
          <w:color w:val="0A0A0F"/>
          <w:sz w:val="20"/>
        </w:rPr>
        <w:t>Modyfikowania, dekompilowania, dezasemblowania lub inżynierii wstecznej kodu Platformy.</w:t>
      </w:r>
    </w:p>
    <w:p>
      <w:pPr>
        <w:spacing w:after="80"/>
        <w:jc w:val="both"/>
      </w:pPr>
      <w:r>
        <w:rPr>
          <w:rFonts w:ascii="Cambria" w:hAnsi="Cambria"/>
          <w:b w:val="0"/>
          <w:i w:val="0"/>
          <w:color w:val="0A0A0F"/>
          <w:sz w:val="20"/>
        </w:rPr>
        <w:t>3. Naruszenie zakazów, o których mowa w ust. 2, upoważnia Usługodawcę do natychmiastowego wypowiedzenia Umowy bez zwrotu uiszczonych opłat.</w:t>
      </w:r>
    </w:p>
    <w:p>
      <w:pPr>
        <w:spacing w:before="360" w:after="120"/>
        <w:jc w:val="left"/>
        <w:pBdr>
          <w:bottom w:val="single" w:sz="4" w:space="1" w:color="1A1A6C"/>
        </w:pBdr>
      </w:pPr>
      <w:r>
        <w:rPr>
          <w:rFonts w:ascii="Cambria" w:hAnsi="Cambria"/>
          <w:b/>
          <w:color w:val="1A1A6C"/>
          <w:sz w:val="28"/>
        </w:rPr>
        <w:t>§ 8. WŁASNOŚĆ INTELEKTUALNA</w:t>
      </w:r>
    </w:p>
    <w:p>
      <w:pPr>
        <w:spacing w:after="80"/>
        <w:jc w:val="both"/>
      </w:pPr>
      <w:r>
        <w:rPr>
          <w:rFonts w:ascii="Cambria" w:hAnsi="Cambria"/>
          <w:b w:val="0"/>
          <w:i w:val="0"/>
          <w:color w:val="0A0A0F"/>
          <w:sz w:val="20"/>
        </w:rPr>
        <w:t>1. Platforma Terra.OS, jej kod źródłowy, modele AI, interfejs użytkownika, dokumentacja oraz wszelkie materiały udostępniane przez Usługodawcę stanowią własność QA10 sp. z o.o. i objęte są ochroną na podstawie ustawy z dnia 4 lutego 1994 r. o prawie autorskim i prawach pokrewnych.</w:t>
      </w:r>
    </w:p>
    <w:p>
      <w:pPr>
        <w:spacing w:after="80"/>
        <w:jc w:val="both"/>
      </w:pPr>
      <w:r>
        <w:rPr>
          <w:rFonts w:ascii="Cambria" w:hAnsi="Cambria"/>
          <w:b w:val="0"/>
          <w:i w:val="0"/>
          <w:color w:val="0A0A0F"/>
          <w:sz w:val="20"/>
        </w:rPr>
        <w:t>2. Usługodawca udziela Usługobiorcy niewyłącznej, niezbywalnej, ograniczonej licencji na korzystanie z Platformy wyłącznie w celach określonych w niniejszym Regulaminie, na czas obowiązywania Umowy.</w:t>
      </w:r>
    </w:p>
    <w:p>
      <w:pPr>
        <w:spacing w:after="80"/>
        <w:jc w:val="both"/>
      </w:pPr>
      <w:r>
        <w:rPr>
          <w:rFonts w:ascii="Cambria" w:hAnsi="Cambria"/>
          <w:b w:val="0"/>
          <w:i w:val="0"/>
          <w:color w:val="0A0A0F"/>
          <w:sz w:val="20"/>
        </w:rPr>
        <w:t>3. Dane Klienta wprowadzone do Platformy pozostają własnością Usługobiorcy. Usługodawca nie nabywa żadnych praw do Danych Klienta, z wyjątkiem prawa do ich przetwarzania w celu świadczenia Usługi.</w:t>
      </w:r>
    </w:p>
    <w:p>
      <w:pPr>
        <w:spacing w:after="80"/>
        <w:jc w:val="both"/>
      </w:pPr>
      <w:r>
        <w:rPr>
          <w:rFonts w:ascii="Cambria" w:hAnsi="Cambria"/>
          <w:b w:val="0"/>
          <w:i w:val="0"/>
          <w:color w:val="0A0A0F"/>
          <w:sz w:val="20"/>
        </w:rPr>
        <w:t>4. Usługodawca uprawniony jest do anonimowego, agregowanego wykorzystywania danych statystycznych (bez możliwości identyfikacji Usługobiorcy lub jego danych) w celu ulepszania Platformy i modeli AI.</w:t>
      </w:r>
    </w:p>
    <w:p>
      <w:pPr>
        <w:spacing w:before="360" w:after="120"/>
        <w:jc w:val="left"/>
        <w:pBdr>
          <w:bottom w:val="single" w:sz="4" w:space="1" w:color="1A1A6C"/>
        </w:pBdr>
      </w:pPr>
      <w:r>
        <w:rPr>
          <w:rFonts w:ascii="Cambria" w:hAnsi="Cambria"/>
          <w:b/>
          <w:color w:val="1A1A6C"/>
          <w:sz w:val="28"/>
        </w:rPr>
        <w:t>§ 9. OCHRONA DANYCH OSOBOWYCH</w:t>
      </w:r>
    </w:p>
    <w:p>
      <w:pPr>
        <w:spacing w:after="80"/>
        <w:jc w:val="both"/>
      </w:pPr>
      <w:r>
        <w:rPr>
          <w:rFonts w:ascii="Cambria" w:hAnsi="Cambria"/>
          <w:b w:val="0"/>
          <w:i w:val="0"/>
          <w:color w:val="0A0A0F"/>
          <w:sz w:val="20"/>
        </w:rPr>
        <w:t>1. Usługodawca przetwarza dane osobowe osób korzystających z Platformy jako Administrator danych w rozumieniu art. 4 pkt 7 RODO.</w:t>
      </w:r>
    </w:p>
    <w:p>
      <w:pPr>
        <w:spacing w:after="80"/>
        <w:jc w:val="both"/>
      </w:pPr>
      <w:r>
        <w:rPr>
          <w:rFonts w:ascii="Cambria" w:hAnsi="Cambria"/>
          <w:b w:val="0"/>
          <w:i w:val="0"/>
          <w:color w:val="0A0A0F"/>
          <w:sz w:val="20"/>
        </w:rPr>
        <w:t>2. Szczegółowe zasady przetwarzania danych osobowych określa Polityka Prywatności Terra.OS, dostępna pod adresem terra-os.pl/privacy, stanowiąca integralną część Regulaminu.</w:t>
      </w:r>
    </w:p>
    <w:p>
      <w:pPr>
        <w:spacing w:after="80"/>
        <w:jc w:val="both"/>
      </w:pPr>
      <w:r>
        <w:rPr>
          <w:rFonts w:ascii="Cambria" w:hAnsi="Cambria"/>
          <w:b w:val="0"/>
          <w:i w:val="0"/>
          <w:color w:val="0A0A0F"/>
          <w:sz w:val="20"/>
        </w:rPr>
        <w:t>3. W zakresie, w jakim Usługobiorca powierza Usługodawcy przetwarzanie danych osobowych osób trzecich (np. pracowników Usługobiorcy, kontrahentów), strony zobowiązane są do zawarcia Umowy Powierzenia Przetwarzania Danych (DPA) zgodnie z art. 28 RODO. Wzór DPA dostępny jest pod adresem terra-os.pl/legal/dpa.</w:t>
      </w:r>
    </w:p>
    <w:p>
      <w:pPr>
        <w:spacing w:after="80"/>
        <w:jc w:val="both"/>
      </w:pPr>
      <w:r>
        <w:rPr>
          <w:rFonts w:ascii="Cambria" w:hAnsi="Cambria"/>
          <w:b w:val="0"/>
          <w:i w:val="0"/>
          <w:color w:val="0A0A0F"/>
          <w:sz w:val="20"/>
        </w:rPr>
        <w:t>4. Usługodawca oświadcza, że stosuje organizacyjne i techniczne środki bezpieczeństwa zgodnie z art. 32 RODO, w tym: szyfrowanie danych w transmisji (TLS 1.3), szyfrowanie danych w spoczynku, Row Level Security na poziomie bazy danych (PostgreSQL RLS), systemy kopii zapasowych oraz procedury reagowania na incydenty.</w:t>
      </w:r>
    </w:p>
    <w:p>
      <w:pPr>
        <w:spacing w:before="360" w:after="120"/>
        <w:jc w:val="left"/>
        <w:pBdr>
          <w:bottom w:val="single" w:sz="4" w:space="1" w:color="1A1A6C"/>
        </w:pBdr>
      </w:pPr>
      <w:r>
        <w:rPr>
          <w:rFonts w:ascii="Cambria" w:hAnsi="Cambria"/>
          <w:b/>
          <w:color w:val="1A1A6C"/>
          <w:sz w:val="28"/>
        </w:rPr>
        <w:t>§ 10. SYSTEMY AI - PRZEJRZYSTOŚĆ (AI ACT)</w:t>
      </w:r>
    </w:p>
    <w:p>
      <w:pPr>
        <w:spacing w:after="80"/>
        <w:jc w:val="both"/>
      </w:pPr>
      <w:r>
        <w:rPr>
          <w:rFonts w:ascii="Cambria" w:hAnsi="Cambria"/>
          <w:b w:val="0"/>
          <w:i w:val="0"/>
          <w:color w:val="0A0A0F"/>
          <w:sz w:val="20"/>
        </w:rPr>
        <w:t>1. Platforma Terra.OS wykorzystuje systemy sztucznej inteligencji w zakresie: (a) semantycznego wyszukiwania przetargów, (b) analizy ryzyka dokumentacji SWZ, (c) scoringu i estymacji prawdopodobieństwa wygrania przetargu.</w:t>
      </w:r>
    </w:p>
    <w:p>
      <w:pPr>
        <w:spacing w:after="80"/>
        <w:jc w:val="both"/>
      </w:pPr>
      <w:r>
        <w:rPr>
          <w:rFonts w:ascii="Cambria" w:hAnsi="Cambria"/>
          <w:b w:val="0"/>
          <w:i w:val="0"/>
          <w:color w:val="0A0A0F"/>
          <w:sz w:val="20"/>
        </w:rPr>
        <w:t>2. Zgodnie z Rozporządzeniem (UE) 2024/1689 (AI Act), Usługodawca informuje, że:</w:t>
      </w:r>
    </w:p>
    <w:p>
      <w:pPr>
        <w:pStyle w:val="ListBullet"/>
        <w:spacing w:after="40"/>
        <w:ind w:left="283"/>
      </w:pPr>
      <w:r>
        <w:rPr>
          <w:rFonts w:ascii="Cambria" w:hAnsi="Cambria"/>
          <w:color w:val="0A0A0F"/>
          <w:sz w:val="20"/>
        </w:rPr>
        <w:t>System scoringu (estymacja prawdopodobieństwa wygrania) klasyfikowany jest jako system AI wysokiego ryzyka w rozumieniu Załącznika III AI Act, jako narzędzie wspomagające decyzje biznesowe. System posiada wbudowane mechanizmy ludzkiego nadzoru - ostateczna decyzja o złożeniu oferty leży wyłącznie po stronie Usługobiorcy.</w:t>
      </w:r>
    </w:p>
    <w:p>
      <w:pPr>
        <w:pStyle w:val="ListBullet"/>
        <w:spacing w:after="40"/>
        <w:ind w:left="283"/>
      </w:pPr>
      <w:r>
        <w:rPr>
          <w:rFonts w:ascii="Cambria" w:hAnsi="Cambria"/>
          <w:color w:val="0A0A0F"/>
          <w:sz w:val="20"/>
        </w:rPr>
        <w:t>Modele predykcyjne opierają się na danych historycznych dostarczonych przez Usługobiorcę i danych publicznych BZP. Wyniki scoringu mają charakter statystyczny i nie stanowią porady prawnej ani finansowej.</w:t>
      </w:r>
    </w:p>
    <w:p>
      <w:pPr>
        <w:pStyle w:val="ListBullet"/>
        <w:spacing w:after="40"/>
        <w:ind w:left="283"/>
      </w:pPr>
      <w:r>
        <w:rPr>
          <w:rFonts w:ascii="Cambria" w:hAnsi="Cambria"/>
          <w:color w:val="0A0A0F"/>
          <w:sz w:val="20"/>
        </w:rPr>
        <w:t>Usługobiorca ma prawo żądać wyjaśnienia mechanizmu działania systemu scoringowego (prawo do wyjaśnialności, art. 86 AI Act) przez kontakt z Usługodawcą.</w:t>
      </w:r>
    </w:p>
    <w:p>
      <w:pPr>
        <w:pStyle w:val="ListBullet"/>
        <w:spacing w:after="40"/>
        <w:ind w:left="283"/>
      </w:pPr>
      <w:r>
        <w:rPr>
          <w:rFonts w:ascii="Cambria" w:hAnsi="Cambria"/>
          <w:color w:val="0A0A0F"/>
          <w:sz w:val="20"/>
        </w:rPr>
        <w:t>W przypadku zbyt małej ilości danych historycznych (poniżej 20 zakończonych przetargów z wynikami), system scoringu korzysta z danych wzorcowych (publiczne wyniki BZP). Platforma informuje Usługobiorcę o tym stanie.</w:t>
      </w:r>
    </w:p>
    <w:p>
      <w:pPr>
        <w:spacing w:before="360" w:after="120"/>
        <w:jc w:val="left"/>
        <w:pBdr>
          <w:bottom w:val="single" w:sz="4" w:space="1" w:color="1A1A6C"/>
        </w:pBdr>
      </w:pPr>
      <w:r>
        <w:rPr>
          <w:rFonts w:ascii="Cambria" w:hAnsi="Cambria"/>
          <w:b/>
          <w:color w:val="1A1A6C"/>
          <w:sz w:val="28"/>
        </w:rPr>
        <w:t>§ 11. CYBERBEZPIECZEŃSTWO (NIS2/KSC)</w:t>
      </w:r>
    </w:p>
    <w:p>
      <w:pPr>
        <w:spacing w:after="80"/>
        <w:jc w:val="both"/>
      </w:pPr>
      <w:r>
        <w:rPr>
          <w:rFonts w:ascii="Cambria" w:hAnsi="Cambria"/>
          <w:b w:val="0"/>
          <w:i w:val="0"/>
          <w:color w:val="0A0A0F"/>
          <w:sz w:val="20"/>
        </w:rPr>
        <w:t>1. Usługodawca wdrożył środki bezpieczeństwa sieci i systemów informatycznych zgodnie z wymaganiami Dyrektywy NIS2 implementowanej na mocy ustawy o krajowym systemie cyberbezpieczeństwa.</w:t>
      </w:r>
    </w:p>
    <w:p>
      <w:pPr>
        <w:spacing w:after="80"/>
        <w:jc w:val="both"/>
      </w:pPr>
      <w:r>
        <w:rPr>
          <w:rFonts w:ascii="Cambria" w:hAnsi="Cambria"/>
          <w:b w:val="0"/>
          <w:i w:val="0"/>
          <w:color w:val="0A0A0F"/>
          <w:sz w:val="20"/>
        </w:rPr>
        <w:t>2. W przypadku incydentu bezpieczeństwa mającego wpływ na dane Usługobiorcy, Usługodawca zobowiązuje się do:</w:t>
      </w:r>
    </w:p>
    <w:p>
      <w:pPr>
        <w:pStyle w:val="ListBullet"/>
        <w:spacing w:after="40"/>
        <w:ind w:left="283"/>
      </w:pPr>
      <w:r>
        <w:rPr>
          <w:rFonts w:ascii="Cambria" w:hAnsi="Cambria"/>
          <w:color w:val="0A0A0F"/>
          <w:sz w:val="20"/>
        </w:rPr>
        <w:t>Wstępnego powiadomienia Usługobiorcy w ciągu 24 godzin od wykrycia incydentu (wczesne ostrzeżenie).</w:t>
      </w:r>
    </w:p>
    <w:p>
      <w:pPr>
        <w:pStyle w:val="ListBullet"/>
        <w:spacing w:after="40"/>
        <w:ind w:left="283"/>
      </w:pPr>
      <w:r>
        <w:rPr>
          <w:rFonts w:ascii="Cambria" w:hAnsi="Cambria"/>
          <w:color w:val="0A0A0F"/>
          <w:sz w:val="20"/>
        </w:rPr>
        <w:t>Pełnego powiadomienia z opisem incydentu, jego zasięgu i podjętych działań - w ciągu 72 godzin.</w:t>
      </w:r>
    </w:p>
    <w:p>
      <w:pPr>
        <w:pStyle w:val="ListBullet"/>
        <w:spacing w:after="40"/>
        <w:ind w:left="283"/>
      </w:pPr>
      <w:r>
        <w:rPr>
          <w:rFonts w:ascii="Cambria" w:hAnsi="Cambria"/>
          <w:color w:val="0A0A0F"/>
          <w:sz w:val="20"/>
        </w:rPr>
        <w:t>Sprawozdania końcowego z analizą przyczyn i wdrożonymi środkami zaradczymi - w ciągu 30 dni.</w:t>
      </w:r>
    </w:p>
    <w:p>
      <w:pPr>
        <w:spacing w:after="80"/>
        <w:jc w:val="both"/>
      </w:pPr>
      <w:r>
        <w:rPr>
          <w:rFonts w:ascii="Cambria" w:hAnsi="Cambria"/>
          <w:b w:val="0"/>
          <w:i w:val="0"/>
          <w:color w:val="0A0A0F"/>
          <w:sz w:val="20"/>
        </w:rPr>
        <w:t>3. Usługobiorca zobowiązuje się niezwłocznie powiadamiać Usługodawcę o podejrzeniu naruszenia bezpieczeństwa Konta na adres hello@qa10.io.</w:t>
      </w:r>
    </w:p>
    <w:p>
      <w:pPr>
        <w:spacing w:before="360" w:after="120"/>
        <w:jc w:val="left"/>
        <w:pBdr>
          <w:bottom w:val="single" w:sz="4" w:space="1" w:color="1A1A6C"/>
        </w:pBdr>
      </w:pPr>
      <w:r>
        <w:rPr>
          <w:rFonts w:ascii="Cambria" w:hAnsi="Cambria"/>
          <w:b/>
          <w:color w:val="1A1A6C"/>
          <w:sz w:val="28"/>
        </w:rPr>
        <w:t>§ 12. ODPOWIEDZIALNOŚĆ</w:t>
      </w:r>
    </w:p>
    <w:p>
      <w:pPr>
        <w:spacing w:after="80"/>
        <w:jc w:val="both"/>
      </w:pPr>
      <w:r>
        <w:rPr>
          <w:rFonts w:ascii="Cambria" w:hAnsi="Cambria"/>
          <w:b w:val="0"/>
          <w:i w:val="0"/>
          <w:color w:val="0A0A0F"/>
          <w:sz w:val="20"/>
        </w:rPr>
        <w:t>1. Usługodawca nie ponosi odpowiedzialności za: (a) decyzje biznesowe podjęte przez Usługobiorcę na podstawie wyników działania systemów AI Platformy, (b) niedostępność źródeł zewnętrznych (BZP, TED) wpływającą na aktualność danych przetargowych, (c) szkody wynikłe z naruszenia Regulaminu przez Usługobiorcę.</w:t>
      </w:r>
    </w:p>
    <w:p>
      <w:pPr>
        <w:spacing w:after="80"/>
        <w:jc w:val="both"/>
      </w:pPr>
      <w:r>
        <w:rPr>
          <w:rFonts w:ascii="Cambria" w:hAnsi="Cambria"/>
          <w:b w:val="0"/>
          <w:i w:val="0"/>
          <w:color w:val="0A0A0F"/>
          <w:sz w:val="20"/>
        </w:rPr>
        <w:t>2. Całkowita odpowiedzialność Usługodawcy z tytułu jednego zdarzenia lub ciągu zdarzeń o wspólnej przyczynie jest ograniczona do wysokości dwunastomiesięcznego wynagrodzenia netto uiszczonego przez Usługobiorcę w roku poprzedzającym zdarzenie powodujące szkodę [TARCZA BFA-SHC-01].</w:t>
      </w:r>
    </w:p>
    <w:p>
      <w:pPr>
        <w:spacing w:after="80"/>
        <w:jc w:val="both"/>
      </w:pPr>
      <w:r>
        <w:rPr>
          <w:rFonts w:ascii="Cambria" w:hAnsi="Cambria"/>
          <w:b w:val="0"/>
          <w:i w:val="0"/>
          <w:color w:val="0A0A0F"/>
          <w:sz w:val="20"/>
        </w:rPr>
        <w:t>3. Ograniczenie odpowiedzialności, o którym mowa w ust. 2, nie ma zastosowania do szkód wyrządzonych umyślnie przez Usługodawcę oraz do naruszenia zobowiązań z zakresu ochrony danych osobowych.</w:t>
      </w:r>
    </w:p>
    <w:p>
      <w:pPr>
        <w:spacing w:after="80"/>
        <w:jc w:val="both"/>
      </w:pPr>
      <w:r>
        <w:rPr>
          <w:rFonts w:ascii="Cambria" w:hAnsi="Cambria"/>
          <w:b w:val="0"/>
          <w:i w:val="0"/>
          <w:color w:val="0A0A0F"/>
          <w:sz w:val="20"/>
        </w:rPr>
        <w:t>4. Platforma korzysta z publicznych danych BZP i TED. Usługodawca dokłada starań, by dane były aktualne i kompletne, jednak nie ponosi odpowiedzialności za błędy, opóźnienia lub niekompletność danych pochodzących od organów publicznych.</w:t>
      </w:r>
    </w:p>
    <w:p>
      <w:pPr>
        <w:spacing w:before="360" w:after="120"/>
        <w:jc w:val="left"/>
        <w:pBdr>
          <w:bottom w:val="single" w:sz="4" w:space="1" w:color="1A1A6C"/>
        </w:pBdr>
      </w:pPr>
      <w:r>
        <w:rPr>
          <w:rFonts w:ascii="Cambria" w:hAnsi="Cambria"/>
          <w:b/>
          <w:color w:val="1A1A6C"/>
          <w:sz w:val="28"/>
        </w:rPr>
        <w:t>§ 13. ROZWIĄZANIE UMOWY</w:t>
      </w:r>
    </w:p>
    <w:p>
      <w:pPr>
        <w:spacing w:after="80"/>
        <w:jc w:val="both"/>
      </w:pPr>
      <w:r>
        <w:rPr>
          <w:rFonts w:ascii="Cambria" w:hAnsi="Cambria"/>
          <w:b w:val="0"/>
          <w:i w:val="0"/>
          <w:color w:val="0A0A0F"/>
          <w:sz w:val="20"/>
        </w:rPr>
        <w:t>1. Umowa zawarta na podstawie Planu Zwiad Monthly może zostać wypowiedziana przez każdą ze Stron ze skutkiem na koniec bieżącego okresu rozliczeniowego (miesiąca), z zachowaniem 7-dniowego wyprzedzenia przed jego końcem [TARCZA BFA-SHC-07].</w:t>
      </w:r>
    </w:p>
    <w:p>
      <w:pPr>
        <w:spacing w:after="80"/>
        <w:jc w:val="both"/>
      </w:pPr>
      <w:r>
        <w:rPr>
          <w:rFonts w:ascii="Cambria" w:hAnsi="Cambria"/>
          <w:b w:val="0"/>
          <w:i w:val="0"/>
          <w:color w:val="0A0A0F"/>
          <w:sz w:val="20"/>
        </w:rPr>
        <w:t>2. Umowa zawarta na podstawie Planu Zwiad Annual wiąże strony przez cały rok i nie podlega wcześniejszemu wypowiedzeniu z wyjątkiem przypadków określonych w ust. 3.</w:t>
      </w:r>
    </w:p>
    <w:p>
      <w:pPr>
        <w:spacing w:after="80"/>
        <w:jc w:val="both"/>
      </w:pPr>
      <w:r>
        <w:rPr>
          <w:rFonts w:ascii="Cambria" w:hAnsi="Cambria"/>
          <w:b w:val="0"/>
          <w:i w:val="0"/>
          <w:color w:val="0A0A0F"/>
          <w:sz w:val="20"/>
        </w:rPr>
        <w:t>3. Każda ze Stron uprawniona jest do wypowiedzenia Umowy ze skutkiem natychmiastowym w przypadku: (a) istotnego naruszenia Regulaminu przez drugą Stronę, po bezskutecznym upływie 14-dniowego terminu na usunięcie naruszenia, (b) otwarcia postępowania upadłościowego lub likwidacyjnego drugiej Strony.</w:t>
      </w:r>
    </w:p>
    <w:p>
      <w:pPr>
        <w:spacing w:after="80"/>
        <w:jc w:val="both"/>
      </w:pPr>
      <w:r>
        <w:rPr>
          <w:rFonts w:ascii="Cambria" w:hAnsi="Cambria"/>
          <w:b w:val="0"/>
          <w:i w:val="0"/>
          <w:color w:val="0A0A0F"/>
          <w:sz w:val="20"/>
        </w:rPr>
        <w:t>4. Po rozwiązaniu Umowy Usługodawca przechowuje Dane Klienta przez okres 30 dni od daty rozwiązania i umożliwia ich eksport. Po tym terminie dane są trwale usuwane z wyjątkiem danych wymaganych przepisami prawa.</w:t>
      </w:r>
    </w:p>
    <w:p>
      <w:pPr>
        <w:spacing w:before="360" w:after="120"/>
        <w:jc w:val="left"/>
        <w:pBdr>
          <w:bottom w:val="single" w:sz="4" w:space="1" w:color="1A1A6C"/>
        </w:pBdr>
      </w:pPr>
      <w:r>
        <w:rPr>
          <w:rFonts w:ascii="Cambria" w:hAnsi="Cambria"/>
          <w:b/>
          <w:color w:val="1A1A6C"/>
          <w:sz w:val="28"/>
        </w:rPr>
        <w:t>§ 14. SIŁA WYŻSZA</w:t>
      </w:r>
    </w:p>
    <w:p>
      <w:pPr>
        <w:spacing w:after="80"/>
        <w:jc w:val="both"/>
      </w:pPr>
      <w:r>
        <w:rPr>
          <w:rFonts w:ascii="Cambria" w:hAnsi="Cambria"/>
          <w:b w:val="0"/>
          <w:i w:val="0"/>
          <w:color w:val="0A0A0F"/>
          <w:sz w:val="20"/>
        </w:rPr>
        <w:t>Żadna ze Stron nie ponosi odpowiedzialności za niewykonanie lub nienależyte wykonanie zobowiązań wynikających z Umowy, jeżeli jest ono następstwem siły wyższej - zdarzenia zewnętrznego, niemożliwego do przewidzenia i zapobieżenia, w szczególności: klęsk żywiołowych, epidemii, wojen, aktów terroryzmu, awarii infrastruktury krytycznej (w tym sieci energetycznej i łączy internetowych) lub aktów władzy publicznej. Strona dotknięta siłą wyższą powiadamia drugą Stronę niezwłocznie, nie później niż w terminie 3 dni [TARCZA BFA-SHC-03].</w:t>
      </w:r>
    </w:p>
    <w:p>
      <w:pPr>
        <w:spacing w:before="360" w:after="120"/>
        <w:jc w:val="left"/>
        <w:pBdr>
          <w:bottom w:val="single" w:sz="4" w:space="1" w:color="1A1A6C"/>
        </w:pBdr>
      </w:pPr>
      <w:r>
        <w:rPr>
          <w:rFonts w:ascii="Cambria" w:hAnsi="Cambria"/>
          <w:b/>
          <w:color w:val="1A1A6C"/>
          <w:sz w:val="28"/>
        </w:rPr>
        <w:t>§ 15. ROZWIĄZYWANIE SPORÓW</w:t>
      </w:r>
    </w:p>
    <w:p>
      <w:pPr>
        <w:spacing w:after="80"/>
        <w:jc w:val="both"/>
      </w:pPr>
      <w:r>
        <w:rPr>
          <w:rFonts w:ascii="Cambria" w:hAnsi="Cambria"/>
          <w:b w:val="0"/>
          <w:i w:val="0"/>
          <w:color w:val="0A0A0F"/>
          <w:sz w:val="20"/>
        </w:rPr>
        <w:t>1. Wszelkie spory wynikające z Umowy Strony zobowiązują się rozwiązywać polubownie w terminie 30 dni od daty zgłoszenia sporu przez jedną ze Stron.</w:t>
      </w:r>
    </w:p>
    <w:p>
      <w:pPr>
        <w:spacing w:after="80"/>
        <w:jc w:val="both"/>
      </w:pPr>
      <w:r>
        <w:rPr>
          <w:rFonts w:ascii="Cambria" w:hAnsi="Cambria"/>
          <w:b w:val="0"/>
          <w:i w:val="0"/>
          <w:color w:val="0A0A0F"/>
          <w:sz w:val="20"/>
        </w:rPr>
        <w:t>2. W przypadku niemożności polubownego rozwiązania sporu, jest on rozstrzygany przez sąd powszechny właściwy dla siedziby Usługodawcy - Sąd w Katowicach [TARCZA BFA-SHC-05].</w:t>
      </w:r>
    </w:p>
    <w:p>
      <w:pPr>
        <w:spacing w:after="80"/>
        <w:jc w:val="both"/>
      </w:pPr>
      <w:r>
        <w:rPr>
          <w:rFonts w:ascii="Cambria" w:hAnsi="Cambria"/>
          <w:b w:val="0"/>
          <w:i w:val="0"/>
          <w:color w:val="0A0A0F"/>
          <w:sz w:val="20"/>
        </w:rPr>
        <w:t>3. Prawem właściwym dla Umowy jest prawo polskie.</w:t>
      </w:r>
    </w:p>
    <w:p>
      <w:pPr>
        <w:spacing w:before="360" w:after="120"/>
        <w:jc w:val="left"/>
        <w:pBdr>
          <w:bottom w:val="single" w:sz="4" w:space="1" w:color="1A1A6C"/>
        </w:pBdr>
      </w:pPr>
      <w:r>
        <w:rPr>
          <w:rFonts w:ascii="Cambria" w:hAnsi="Cambria"/>
          <w:b/>
          <w:color w:val="1A1A6C"/>
          <w:sz w:val="28"/>
        </w:rPr>
        <w:t>§ 16. POSTANOWIENIA KOŃCOWE</w:t>
      </w:r>
    </w:p>
    <w:p>
      <w:pPr>
        <w:spacing w:after="80"/>
        <w:jc w:val="both"/>
      </w:pPr>
      <w:r>
        <w:rPr>
          <w:rFonts w:ascii="Cambria" w:hAnsi="Cambria"/>
          <w:b w:val="0"/>
          <w:i w:val="0"/>
          <w:color w:val="0A0A0F"/>
          <w:sz w:val="20"/>
        </w:rPr>
        <w:t>1. Jeżeli którekolwiek z postanowień niniejszego Regulaminu okaże się nieważne lub bezskuteczne, pozostałe postanowienia zachowują moc obowiązującą (klauzula salwatoryjna).</w:t>
      </w:r>
    </w:p>
    <w:p>
      <w:pPr>
        <w:spacing w:after="80"/>
        <w:jc w:val="both"/>
      </w:pPr>
      <w:r>
        <w:rPr>
          <w:rFonts w:ascii="Cambria" w:hAnsi="Cambria"/>
          <w:b w:val="0"/>
          <w:i w:val="0"/>
          <w:color w:val="0A0A0F"/>
          <w:sz w:val="20"/>
        </w:rPr>
        <w:t>2. Niniejszy Regulamin wchodzi w życie z dniem 15 lipca 2026 r.</w:t>
      </w:r>
    </w:p>
    <w:p>
      <w:pPr>
        <w:spacing w:after="80"/>
        <w:jc w:val="both"/>
      </w:pPr>
      <w:r>
        <w:rPr>
          <w:rFonts w:ascii="Cambria" w:hAnsi="Cambria"/>
          <w:b w:val="0"/>
          <w:i w:val="0"/>
          <w:color w:val="0A0A0F"/>
          <w:sz w:val="20"/>
        </w:rPr>
        <w:t>3. Usługodawca zastrzega prawo do zmiany Regulaminu z zachowaniem wymogów określonych w § 1 ust. 4.</w:t>
      </w:r>
    </w:p>
    <w:p>
      <w:pPr>
        <w:spacing w:after="80"/>
        <w:jc w:val="both"/>
      </w:pPr>
      <w:r>
        <w:rPr>
          <w:rFonts w:ascii="Cambria" w:hAnsi="Cambria"/>
          <w:b w:val="0"/>
          <w:i w:val="0"/>
          <w:color w:val="0A0A0F"/>
          <w:sz w:val="20"/>
        </w:rPr>
        <w:t>4. Wszelka korespondencja dotycząca Regulaminu kierowana jest na adres: ul. Mariacka 37, 40-014 Katowice lub drogą elektroniczną na adres hello@qa10.io.</w:t>
      </w:r>
    </w:p>
    <w:p>
      <w:pPr>
        <w:pBdr>
          <w:bottom w:val="single" w:sz="4" w:space="1" w:color="666666"/>
        </w:pBdr>
        <w:spacing w:before="120" w:after="120"/>
      </w:pPr>
    </w:p>
    <w:p>
      <w:pPr>
        <w:spacing w:after="80"/>
        <w:jc w:val="both"/>
      </w:pPr>
      <w:r>
        <w:rPr>
          <w:rFonts w:ascii="Cambria" w:hAnsi="Cambria"/>
          <w:b w:val="0"/>
          <w:i/>
          <w:color w:val="0A0A0F"/>
          <w:sz w:val="20"/>
        </w:rPr>
        <w:t>Dokument wygenerowany: 15.07.2026 | QA10 sp. z o.o. | KRS: 0001232199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/>
      <w:color w:val="0A0A0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