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mbria" w:hAnsi="Cambria"/>
          <w:b/>
          <w:color w:val="1A1A6C"/>
          <w:sz w:val="24"/>
        </w:rPr>
        <w:t>QA10 sp. z o.o.</w:t>
      </w:r>
    </w:p>
    <w:p>
      <w:pPr>
        <w:spacing w:after="0"/>
        <w:jc w:val="right"/>
      </w:pPr>
      <w:r>
        <w:rPr>
          <w:rFonts w:ascii="Cambria" w:hAnsi="Cambria"/>
          <w:color w:val="666666"/>
          <w:sz w:val="16"/>
        </w:rPr>
        <w:t>NIP: 9542906279 | KRS: 0001232199</w:t>
        <w:br/>
        <w:t>ul. Mariacka 37, 40-014 Katowice</w:t>
        <w:br/>
        <w:t>hello@qa10.io</w:t>
      </w:r>
    </w:p>
    <w:p>
      <w:pPr>
        <w:pBdr>
          <w:bottom w:val="single" w:sz="4" w:space="1" w:color="666666"/>
        </w:pBdr>
        <w:spacing w:before="120" w:after="120"/>
      </w:pPr>
    </w:p>
    <w:p/>
    <w:p/>
    <w:p>
      <w:pPr>
        <w:spacing w:after="160"/>
        <w:jc w:val="center"/>
      </w:pPr>
      <w:r>
        <w:rPr>
          <w:rFonts w:ascii="Cambria" w:hAnsi="Cambria"/>
          <w:b/>
          <w:color w:val="1A1A6C"/>
          <w:sz w:val="44"/>
        </w:rPr>
        <w:t>POLITYKA PRYWATNOŚCI TERRA.OS</w:t>
      </w:r>
    </w:p>
    <w:p>
      <w:pPr>
        <w:spacing w:after="480"/>
        <w:jc w:val="center"/>
      </w:pPr>
      <w:r>
        <w:rPr>
          <w:rFonts w:ascii="Cambria" w:hAnsi="Cambria"/>
          <w:color w:val="666666"/>
          <w:sz w:val="26"/>
        </w:rPr>
        <w:t>Informacja o przetwarzaniu danych osobowych</w:t>
        <w:br/>
        <w:t>zgodnie z art. 13 i 14 RODO</w:t>
        <w:br/>
        <w:t>QA10 sp. z o.o.</w:t>
      </w:r>
    </w:p>
    <w:p>
      <w:pPr>
        <w:spacing w:after="40"/>
        <w:jc w:val="center"/>
      </w:pPr>
      <w:r>
        <w:rPr>
          <w:rFonts w:ascii="Cambria" w:hAnsi="Cambria"/>
          <w:color w:val="666666"/>
          <w:sz w:val="18"/>
        </w:rPr>
        <w:t>Nr dokumentu: PP-TERRA-2026-001</w:t>
      </w:r>
    </w:p>
    <w:p>
      <w:pPr>
        <w:spacing w:after="40"/>
        <w:jc w:val="center"/>
      </w:pPr>
      <w:r>
        <w:rPr>
          <w:rFonts w:ascii="Cambria" w:hAnsi="Cambria"/>
          <w:color w:val="666666"/>
          <w:sz w:val="18"/>
        </w:rPr>
        <w:t>Wersja: 1.0</w:t>
      </w:r>
    </w:p>
    <w:p>
      <w:pPr>
        <w:spacing w:after="40"/>
        <w:jc w:val="center"/>
      </w:pPr>
      <w:r>
        <w:rPr>
          <w:rFonts w:ascii="Cambria" w:hAnsi="Cambria"/>
          <w:color w:val="666666"/>
          <w:sz w:val="18"/>
        </w:rPr>
        <w:t>Data: 15.07.2026</w:t>
      </w:r>
    </w:p>
    <w:p>
      <w:pPr>
        <w:spacing w:after="40"/>
        <w:jc w:val="center"/>
      </w:pPr>
      <w:r>
        <w:rPr>
          <w:rFonts w:ascii="Cambria" w:hAnsi="Cambria"/>
          <w:color w:val="666666"/>
          <w:sz w:val="18"/>
        </w:rPr>
        <w:t>Status: Obowiązujący</w:t>
      </w:r>
    </w:p>
    <w:p>
      <w:r>
        <w:br w:type="page"/>
      </w:r>
    </w:p>
    <w:p>
      <w:pPr>
        <w:spacing w:before="360" w:after="120"/>
        <w:jc w:val="left"/>
        <w:pBdr>
          <w:bottom w:val="single" w:sz="4" w:space="1" w:color="1A1A6C"/>
        </w:pBdr>
      </w:pPr>
      <w:r>
        <w:rPr>
          <w:rFonts w:ascii="Cambria" w:hAnsi="Cambria"/>
          <w:b/>
          <w:color w:val="1A1A6C"/>
          <w:sz w:val="28"/>
        </w:rPr>
        <w:t>1. ADMINISTRATOR DANYCH OSOBOWYCH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Administratorem Pani/Pana danych osobowych jest: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QA10 sp. z o.o.</w:t>
        <w:br/>
        <w:t>ul. Mariacka 37, 40-014 Katowice</w:t>
        <w:br/>
        <w:t>NIP: 9542906279, KRS: 0001232199</w:t>
        <w:br/>
        <w:t>Adres e-mail: hello@qa10.io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Zarząd Spółki: Mateusz Jakimów (Prezes Zarządu), Adrianna Agnieszka Kmieciak (Członek Zarządu).</w:t>
      </w:r>
    </w:p>
    <w:p>
      <w:pPr>
        <w:spacing w:before="360" w:after="120"/>
        <w:jc w:val="left"/>
        <w:pBdr>
          <w:bottom w:val="single" w:sz="4" w:space="1" w:color="1A1A6C"/>
        </w:pBdr>
      </w:pPr>
      <w:r>
        <w:rPr>
          <w:rFonts w:ascii="Cambria" w:hAnsi="Cambria"/>
          <w:b/>
          <w:color w:val="1A1A6C"/>
          <w:sz w:val="28"/>
        </w:rPr>
        <w:t>2. INSPEKTOR OCHRONY DANYCH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QA10 sp. z o.o. nie wyznaczyła Inspektora Ochrony Danych (IOD), gdyz nie jest do tego zobowiazana przepisami art. 37 RODO. Wszelkie pytania dotyczace ochrony danych osobowych prosimy kierowac na adres: hello@qa10.io</w:t>
      </w:r>
    </w:p>
    <w:p>
      <w:pPr>
        <w:spacing w:before="360" w:after="120"/>
        <w:jc w:val="left"/>
        <w:pBdr>
          <w:bottom w:val="single" w:sz="4" w:space="1" w:color="1A1A6C"/>
        </w:pBdr>
      </w:pPr>
      <w:r>
        <w:rPr>
          <w:rFonts w:ascii="Cambria" w:hAnsi="Cambria"/>
          <w:b/>
          <w:color w:val="1A1A6C"/>
          <w:sz w:val="28"/>
        </w:rPr>
        <w:t>3. KATEGORIE PRZETWARZANYCH DANYCH I CELE PRZETWARZANIA</w:t>
      </w:r>
    </w:p>
    <w:p>
      <w:pPr>
        <w:spacing w:before="240" w:after="60"/>
      </w:pPr>
      <w:r>
        <w:rPr>
          <w:rFonts w:ascii="Cambria" w:hAnsi="Cambria"/>
          <w:b/>
          <w:color w:val="1A1A6C"/>
          <w:sz w:val="23"/>
        </w:rPr>
        <w:t>3.1 Dane Usługobiorców (podmioty korzystające z Terra.OS)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1A6C"/>
          </w:tcPr>
          <w:p>
            <w:r>
              <w:rPr>
                <w:rFonts w:ascii="Cambria" w:hAnsi="Cambria"/>
                <w:b/>
                <w:color w:val="FFFFFF"/>
                <w:sz w:val="17"/>
              </w:rPr>
              <w:t>Kategoria danych</w:t>
            </w:r>
          </w:p>
        </w:tc>
        <w:tc>
          <w:tcPr>
            <w:tcW w:type="dxa" w:w="2280"/>
            <w:shd w:val="clear" w:color="auto" w:fill="1A1A6C"/>
          </w:tcPr>
          <w:p>
            <w:r>
              <w:rPr>
                <w:rFonts w:ascii="Cambria" w:hAnsi="Cambria"/>
                <w:b/>
                <w:color w:val="FFFFFF"/>
                <w:sz w:val="17"/>
              </w:rPr>
              <w:t>Cel przetwarzania</w:t>
            </w:r>
          </w:p>
        </w:tc>
        <w:tc>
          <w:tcPr>
            <w:tcW w:type="dxa" w:w="2280"/>
            <w:shd w:val="clear" w:color="auto" w:fill="1A1A6C"/>
          </w:tcPr>
          <w:p>
            <w:r>
              <w:rPr>
                <w:rFonts w:ascii="Cambria" w:hAnsi="Cambria"/>
                <w:b/>
                <w:color w:val="FFFFFF"/>
                <w:sz w:val="17"/>
              </w:rPr>
              <w:t>Podstawa prawna (RODO)</w:t>
            </w:r>
          </w:p>
        </w:tc>
        <w:tc>
          <w:tcPr>
            <w:tcW w:type="dxa" w:w="2280"/>
            <w:shd w:val="clear" w:color="auto" w:fill="1A1A6C"/>
          </w:tcPr>
          <w:p>
            <w:r>
              <w:rPr>
                <w:rFonts w:ascii="Cambria" w:hAnsi="Cambria"/>
                <w:b/>
                <w:color w:val="FFFFFF"/>
                <w:sz w:val="17"/>
              </w:rPr>
              <w:t>Okres retencji</w:t>
            </w:r>
          </w:p>
        </w:tc>
      </w:tr>
      <w:tr>
        <w:tc>
          <w:tcPr>
            <w:tcW w:type="dxa" w:w="2280"/>
          </w:tcPr>
          <w:p>
            <w:r>
              <w:rPr>
                <w:rFonts w:ascii="Cambria" w:hAnsi="Cambria"/>
                <w:sz w:val="16"/>
              </w:rPr>
              <w:t>Dane identyfikacyjne firmy (nazwa, NIP, adres)</w:t>
            </w:r>
          </w:p>
        </w:tc>
        <w:tc>
          <w:tcPr>
            <w:tcW w:type="dxa" w:w="2280"/>
          </w:tcPr>
          <w:p>
            <w:r>
              <w:rPr>
                <w:rFonts w:ascii="Cambria" w:hAnsi="Cambria"/>
                <w:sz w:val="16"/>
              </w:rPr>
              <w:t>Zawarcie i wykonanie umowy, wystawienie faktury</w:t>
            </w:r>
          </w:p>
        </w:tc>
        <w:tc>
          <w:tcPr>
            <w:tcW w:type="dxa" w:w="2280"/>
          </w:tcPr>
          <w:p>
            <w:r>
              <w:rPr>
                <w:rFonts w:ascii="Cambria" w:hAnsi="Cambria"/>
                <w:sz w:val="16"/>
              </w:rPr>
              <w:t>Art. 6 ust. 1 lit. b) i c) RODO</w:t>
            </w:r>
          </w:p>
        </w:tc>
        <w:tc>
          <w:tcPr>
            <w:tcW w:type="dxa" w:w="2280"/>
          </w:tcPr>
          <w:p>
            <w:r>
              <w:rPr>
                <w:rFonts w:ascii="Cambria" w:hAnsi="Cambria"/>
                <w:sz w:val="16"/>
              </w:rPr>
              <w:t>5 lat od zakończenia stosunku prawnego (obowiązek podatkowy)</w:t>
            </w:r>
          </w:p>
        </w:tc>
      </w:tr>
      <w:tr>
        <w:tc>
          <w:tcPr>
            <w:tcW w:type="dxa" w:w="2280"/>
          </w:tcPr>
          <w:p>
            <w:r>
              <w:rPr>
                <w:rFonts w:ascii="Cambria" w:hAnsi="Cambria"/>
                <w:sz w:val="16"/>
              </w:rPr>
              <w:t>Dane osobowe użytkowników konta (imię, nazwisko, e-mail, IP)</w:t>
            </w:r>
          </w:p>
        </w:tc>
        <w:tc>
          <w:tcPr>
            <w:tcW w:type="dxa" w:w="2280"/>
          </w:tcPr>
          <w:p>
            <w:r>
              <w:rPr>
                <w:rFonts w:ascii="Cambria" w:hAnsi="Cambria"/>
                <w:sz w:val="16"/>
              </w:rPr>
              <w:t>Udostępnienie dostępu do Platformy, bezpieczeństwo</w:t>
            </w:r>
          </w:p>
        </w:tc>
        <w:tc>
          <w:tcPr>
            <w:tcW w:type="dxa" w:w="2280"/>
          </w:tcPr>
          <w:p>
            <w:r>
              <w:rPr>
                <w:rFonts w:ascii="Cambria" w:hAnsi="Cambria"/>
                <w:sz w:val="16"/>
              </w:rPr>
              <w:t>Art. 6 ust. 1 lit. b) i f) RODO</w:t>
            </w:r>
          </w:p>
        </w:tc>
        <w:tc>
          <w:tcPr>
            <w:tcW w:type="dxa" w:w="2280"/>
          </w:tcPr>
          <w:p>
            <w:r>
              <w:rPr>
                <w:rFonts w:ascii="Cambria" w:hAnsi="Cambria"/>
                <w:sz w:val="16"/>
              </w:rPr>
              <w:t>Do wypowiedzenia umowy + 30 dni</w:t>
            </w:r>
          </w:p>
        </w:tc>
      </w:tr>
      <w:tr>
        <w:tc>
          <w:tcPr>
            <w:tcW w:type="dxa" w:w="2280"/>
          </w:tcPr>
          <w:p>
            <w:r>
              <w:rPr>
                <w:rFonts w:ascii="Cambria" w:hAnsi="Cambria"/>
                <w:sz w:val="16"/>
              </w:rPr>
              <w:t>Dane logowania i aktywności (logi, IP, tokeny sesji)</w:t>
            </w:r>
          </w:p>
        </w:tc>
        <w:tc>
          <w:tcPr>
            <w:tcW w:type="dxa" w:w="2280"/>
          </w:tcPr>
          <w:p>
            <w:r>
              <w:rPr>
                <w:rFonts w:ascii="Cambria" w:hAnsi="Cambria"/>
                <w:sz w:val="16"/>
              </w:rPr>
              <w:t>Bezpieczeństwo, wykrywanie nadużyć</w:t>
            </w:r>
          </w:p>
        </w:tc>
        <w:tc>
          <w:tcPr>
            <w:tcW w:type="dxa" w:w="2280"/>
          </w:tcPr>
          <w:p>
            <w:r>
              <w:rPr>
                <w:rFonts w:ascii="Cambria" w:hAnsi="Cambria"/>
                <w:sz w:val="16"/>
              </w:rPr>
              <w:t>Art. 6 ust. 1 lit. f) RODO</w:t>
            </w:r>
          </w:p>
        </w:tc>
        <w:tc>
          <w:tcPr>
            <w:tcW w:type="dxa" w:w="2280"/>
          </w:tcPr>
          <w:p>
            <w:r>
              <w:rPr>
                <w:rFonts w:ascii="Cambria" w:hAnsi="Cambria"/>
                <w:sz w:val="16"/>
              </w:rPr>
              <w:t>90 dni</w:t>
            </w:r>
          </w:p>
        </w:tc>
      </w:tr>
      <w:tr>
        <w:tc>
          <w:tcPr>
            <w:tcW w:type="dxa" w:w="2280"/>
          </w:tcPr>
          <w:p>
            <w:r>
              <w:rPr>
                <w:rFonts w:ascii="Cambria" w:hAnsi="Cambria"/>
                <w:sz w:val="16"/>
              </w:rPr>
              <w:t>Dane komunikacji (e-maile do helpdesk)</w:t>
            </w:r>
          </w:p>
        </w:tc>
        <w:tc>
          <w:tcPr>
            <w:tcW w:type="dxa" w:w="2280"/>
          </w:tcPr>
          <w:p>
            <w:r>
              <w:rPr>
                <w:rFonts w:ascii="Cambria" w:hAnsi="Cambria"/>
                <w:sz w:val="16"/>
              </w:rPr>
              <w:t>Obsługa zgłoszeń serwisowych</w:t>
            </w:r>
          </w:p>
        </w:tc>
        <w:tc>
          <w:tcPr>
            <w:tcW w:type="dxa" w:w="2280"/>
          </w:tcPr>
          <w:p>
            <w:r>
              <w:rPr>
                <w:rFonts w:ascii="Cambria" w:hAnsi="Cambria"/>
                <w:sz w:val="16"/>
              </w:rPr>
              <w:t>Art. 6 ust. 1 lit. b) RODO</w:t>
            </w:r>
          </w:p>
        </w:tc>
        <w:tc>
          <w:tcPr>
            <w:tcW w:type="dxa" w:w="2280"/>
          </w:tcPr>
          <w:p>
            <w:r>
              <w:rPr>
                <w:rFonts w:ascii="Cambria" w:hAnsi="Cambria"/>
                <w:sz w:val="16"/>
              </w:rPr>
              <w:t>2 lata od zamknięcia sprawy</w:t>
            </w:r>
          </w:p>
        </w:tc>
      </w:tr>
      <w:tr>
        <w:tc>
          <w:tcPr>
            <w:tcW w:type="dxa" w:w="2280"/>
          </w:tcPr>
          <w:p>
            <w:r>
              <w:rPr>
                <w:rFonts w:ascii="Cambria" w:hAnsi="Cambria"/>
                <w:sz w:val="16"/>
              </w:rPr>
              <w:t>Dane zgód (consent): IP, user-agent, znacznik czasowy</w:t>
            </w:r>
          </w:p>
        </w:tc>
        <w:tc>
          <w:tcPr>
            <w:tcW w:type="dxa" w:w="2280"/>
          </w:tcPr>
          <w:p>
            <w:r>
              <w:rPr>
                <w:rFonts w:ascii="Cambria" w:hAnsi="Cambria"/>
                <w:sz w:val="16"/>
              </w:rPr>
              <w:t>Dowód udzielenia zgody (ePrivacy)</w:t>
            </w:r>
          </w:p>
        </w:tc>
        <w:tc>
          <w:tcPr>
            <w:tcW w:type="dxa" w:w="2280"/>
          </w:tcPr>
          <w:p>
            <w:r>
              <w:rPr>
                <w:rFonts w:ascii="Cambria" w:hAnsi="Cambria"/>
                <w:sz w:val="16"/>
              </w:rPr>
              <w:t>Art. 7 RODO</w:t>
            </w:r>
          </w:p>
        </w:tc>
        <w:tc>
          <w:tcPr>
            <w:tcW w:type="dxa" w:w="2280"/>
          </w:tcPr>
          <w:p>
            <w:r>
              <w:rPr>
                <w:rFonts w:ascii="Cambria" w:hAnsi="Cambria"/>
                <w:sz w:val="16"/>
              </w:rPr>
              <w:t>Do czasu wycofania zgody + 3 lata</w:t>
            </w:r>
          </w:p>
        </w:tc>
      </w:tr>
    </w:tbl>
    <w:p/>
    <w:p>
      <w:pPr>
        <w:spacing w:before="240" w:after="60"/>
      </w:pPr>
      <w:r>
        <w:rPr>
          <w:rFonts w:ascii="Cambria" w:hAnsi="Cambria"/>
          <w:b/>
          <w:color w:val="1A1A6C"/>
          <w:sz w:val="23"/>
        </w:rPr>
        <w:t>3.2 Dane przetwarzone w związku z korzystaniem z AI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Platforma Terra.OS przetwarza dane przesłane do systemów AI (analiza SWZ, scoring) na serwerach QA10 sp. z o.o. lub usługach chmurowych wskazanych w § 5. Dane wprowadzone do czatu AI mogą zawierać fragmenty dokumentów przetargowych - zalecamy nieprzesyłanie danych osobowych do interfejsu czatu AI, o ile nie jest to bezwzględnie konieczne.</w:t>
      </w:r>
    </w:p>
    <w:p>
      <w:pPr>
        <w:spacing w:before="360" w:after="120"/>
        <w:jc w:val="left"/>
        <w:pBdr>
          <w:bottom w:val="single" w:sz="4" w:space="1" w:color="1A1A6C"/>
        </w:pBdr>
      </w:pPr>
      <w:r>
        <w:rPr>
          <w:rFonts w:ascii="Cambria" w:hAnsi="Cambria"/>
          <w:b/>
          <w:color w:val="1A1A6C"/>
          <w:sz w:val="28"/>
        </w:rPr>
        <w:t>4. ODBIORCY DANYCH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Dane osobowe mogą być udostępniane następującym kategoriom odbiorców: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1A6C"/>
          </w:tcPr>
          <w:p>
            <w:r>
              <w:rPr>
                <w:rFonts w:ascii="Cambria" w:hAnsi="Cambria"/>
                <w:b/>
                <w:color w:val="FFFFFF"/>
                <w:sz w:val="18"/>
              </w:rPr>
              <w:t>Odbiorca</w:t>
            </w:r>
          </w:p>
        </w:tc>
        <w:tc>
          <w:tcPr>
            <w:tcW w:type="dxa" w:w="3041"/>
            <w:shd w:val="clear" w:color="auto" w:fill="1A1A6C"/>
          </w:tcPr>
          <w:p>
            <w:r>
              <w:rPr>
                <w:rFonts w:ascii="Cambria" w:hAnsi="Cambria"/>
                <w:b/>
                <w:color w:val="FFFFFF"/>
                <w:sz w:val="18"/>
              </w:rPr>
              <w:t>Cel</w:t>
            </w:r>
          </w:p>
        </w:tc>
        <w:tc>
          <w:tcPr>
            <w:tcW w:type="dxa" w:w="3041"/>
            <w:shd w:val="clear" w:color="auto" w:fill="1A1A6C"/>
          </w:tcPr>
          <w:p>
            <w:r>
              <w:rPr>
                <w:rFonts w:ascii="Cambria" w:hAnsi="Cambria"/>
                <w:b/>
                <w:color w:val="FFFFFF"/>
                <w:sz w:val="18"/>
              </w:rPr>
              <w:t>Podstawa transferu</w:t>
            </w:r>
          </w:p>
        </w:tc>
      </w:tr>
      <w:tr>
        <w:tc>
          <w:tcPr>
            <w:tcW w:type="dxa" w:w="3041"/>
          </w:tcPr>
          <w:p>
            <w:r>
              <w:rPr>
                <w:rFonts w:ascii="Cambria" w:hAnsi="Cambria"/>
                <w:sz w:val="16"/>
              </w:rPr>
              <w:t>Stripe, Inc. (USA)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6"/>
              </w:rPr>
              <w:t>Obsługa płatności elektronicznych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6"/>
              </w:rPr>
              <w:t>Standardowe klauzule umowne (SCC) - transfer do USA na podstawie Decyzji Wykonawczej KE 2021/914</w:t>
            </w:r>
          </w:p>
        </w:tc>
      </w:tr>
      <w:tr>
        <w:tc>
          <w:tcPr>
            <w:tcW w:type="dxa" w:w="3041"/>
          </w:tcPr>
          <w:p>
            <w:r>
              <w:rPr>
                <w:rFonts w:ascii="Cambria" w:hAnsi="Cambria"/>
                <w:sz w:val="16"/>
              </w:rPr>
              <w:t>Resend, Inc. (USA)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6"/>
              </w:rPr>
              <w:t>Wysyłka e-maili transakcyjnych (faktura, powiadomienia konta)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6"/>
              </w:rPr>
              <w:t>SCC / EU-US DPF</w:t>
            </w:r>
          </w:p>
        </w:tc>
      </w:tr>
      <w:tr>
        <w:tc>
          <w:tcPr>
            <w:tcW w:type="dxa" w:w="3041"/>
          </w:tcPr>
          <w:p>
            <w:r>
              <w:rPr>
                <w:rFonts w:ascii="Cambria" w:hAnsi="Cambria"/>
                <w:sz w:val="16"/>
              </w:rPr>
              <w:t>Amazon Web Services EMEA SARL (LU/DE)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6"/>
              </w:rPr>
              <w:t>Infrastruktura serwerowa (EC2 eu-central-1 Frankfurt)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6"/>
              </w:rPr>
              <w:t>Dane przetwarzane wyłącznie w UE - brak transferu</w:t>
            </w:r>
          </w:p>
        </w:tc>
      </w:tr>
      <w:tr>
        <w:tc>
          <w:tcPr>
            <w:tcW w:type="dxa" w:w="3041"/>
          </w:tcPr>
          <w:p>
            <w:r>
              <w:rPr>
                <w:rFonts w:ascii="Cambria" w:hAnsi="Cambria"/>
                <w:sz w:val="16"/>
              </w:rPr>
              <w:t>Anthropic PBC (USA) - opcjonalnie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6"/>
              </w:rPr>
              <w:t>Analiza AI (risk extractor, chat) - jeśli skonfigurowane przez Usługobiorcę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6"/>
              </w:rPr>
              <w:t>SCC</w:t>
            </w:r>
          </w:p>
        </w:tc>
      </w:tr>
      <w:tr>
        <w:tc>
          <w:tcPr>
            <w:tcW w:type="dxa" w:w="3041"/>
          </w:tcPr>
          <w:p>
            <w:r>
              <w:rPr>
                <w:rFonts w:ascii="Cambria" w:hAnsi="Cambria"/>
                <w:sz w:val="16"/>
              </w:rPr>
              <w:t>Podmioty powiązane z QA10 sp. z o.o.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6"/>
              </w:rPr>
              <w:t>Wsparcie techniczne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6"/>
              </w:rPr>
              <w:t>Na podstawie umów wewnątrzgrupowych</w:t>
            </w:r>
          </w:p>
        </w:tc>
      </w:tr>
      <w:tr>
        <w:tc>
          <w:tcPr>
            <w:tcW w:type="dxa" w:w="3041"/>
          </w:tcPr>
          <w:p>
            <w:r>
              <w:rPr>
                <w:rFonts w:ascii="Cambria" w:hAnsi="Cambria"/>
                <w:sz w:val="16"/>
              </w:rPr>
              <w:t>Organy publiczne (ZUS, US, UODO)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6"/>
              </w:rPr>
              <w:t>Na żądanie uprawnionych organów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6"/>
              </w:rPr>
              <w:t>Obowiązek prawny - art. 6 ust. 1 lit. c) RODO</w:t>
            </w:r>
          </w:p>
        </w:tc>
      </w:tr>
    </w:tbl>
    <w:p/>
    <w:p>
      <w:pPr>
        <w:spacing w:before="360" w:after="120"/>
        <w:jc w:val="left"/>
        <w:pBdr>
          <w:bottom w:val="single" w:sz="4" w:space="1" w:color="1A1A6C"/>
        </w:pBdr>
      </w:pPr>
      <w:r>
        <w:rPr>
          <w:rFonts w:ascii="Cambria" w:hAnsi="Cambria"/>
          <w:b/>
          <w:color w:val="1A1A6C"/>
          <w:sz w:val="28"/>
        </w:rPr>
        <w:t>5. PRAWA OSÓB, KTÓRYCH DANE DOTYCZĄ</w:t>
      </w:r>
    </w:p>
    <w:p>
      <w:pPr>
        <w:spacing w:after="60"/>
        <w:ind w:left="283"/>
      </w:pPr>
      <w:r>
        <w:rPr>
          <w:rFonts w:ascii="Cambria" w:hAnsi="Cambria"/>
          <w:b/>
          <w:sz w:val="20"/>
        </w:rPr>
        <w:t xml:space="preserve">Art. 15 RODO - Prawo dostępu: </w:t>
      </w:r>
      <w:r>
        <w:rPr>
          <w:rFonts w:ascii="Cambria" w:hAnsi="Cambria"/>
          <w:sz w:val="20"/>
        </w:rPr>
        <w:t>Prawo do uzyskania potwierdzenia, czy przetwarzamy dane, i otrzymania ich kopii.</w:t>
      </w:r>
    </w:p>
    <w:p>
      <w:pPr>
        <w:spacing w:after="60"/>
        <w:ind w:left="283"/>
      </w:pPr>
      <w:r>
        <w:rPr>
          <w:rFonts w:ascii="Cambria" w:hAnsi="Cambria"/>
          <w:b/>
          <w:sz w:val="20"/>
        </w:rPr>
        <w:t xml:space="preserve">Art. 16 RODO - Prawo do sprostowania: </w:t>
      </w:r>
      <w:r>
        <w:rPr>
          <w:rFonts w:ascii="Cambria" w:hAnsi="Cambria"/>
          <w:sz w:val="20"/>
        </w:rPr>
        <w:t>Prawo do sprostowania nieprawidłowych lub uzupełnienia niekompletnych danych.</w:t>
      </w:r>
    </w:p>
    <w:p>
      <w:pPr>
        <w:spacing w:after="60"/>
        <w:ind w:left="283"/>
      </w:pPr>
      <w:r>
        <w:rPr>
          <w:rFonts w:ascii="Cambria" w:hAnsi="Cambria"/>
          <w:b/>
          <w:sz w:val="20"/>
        </w:rPr>
        <w:t xml:space="preserve">Art. 17 RODO - Prawo do usunięcia: </w:t>
      </w:r>
      <w:r>
        <w:rPr>
          <w:rFonts w:ascii="Cambria" w:hAnsi="Cambria"/>
          <w:sz w:val="20"/>
        </w:rPr>
        <w:t>Prawo do żądania usunięcia danych ("prawo do bycia zapomnianym"), gdy nie są konieczne do celów, dla których zostały zebrane.</w:t>
      </w:r>
    </w:p>
    <w:p>
      <w:pPr>
        <w:spacing w:after="60"/>
        <w:ind w:left="283"/>
      </w:pPr>
      <w:r>
        <w:rPr>
          <w:rFonts w:ascii="Cambria" w:hAnsi="Cambria"/>
          <w:b/>
          <w:sz w:val="20"/>
        </w:rPr>
        <w:t xml:space="preserve">Art. 18 RODO - Prawo do ograniczenia: </w:t>
      </w:r>
      <w:r>
        <w:rPr>
          <w:rFonts w:ascii="Cambria" w:hAnsi="Cambria"/>
          <w:sz w:val="20"/>
        </w:rPr>
        <w:t>Prawo do ograniczenia przetwarzania w przypadkach określonych w RODO.</w:t>
      </w:r>
    </w:p>
    <w:p>
      <w:pPr>
        <w:spacing w:after="60"/>
        <w:ind w:left="283"/>
      </w:pPr>
      <w:r>
        <w:rPr>
          <w:rFonts w:ascii="Cambria" w:hAnsi="Cambria"/>
          <w:b/>
          <w:sz w:val="20"/>
        </w:rPr>
        <w:t xml:space="preserve">Art. 20 RODO - Prawo do przenoszenia: </w:t>
      </w:r>
      <w:r>
        <w:rPr>
          <w:rFonts w:ascii="Cambria" w:hAnsi="Cambria"/>
          <w:sz w:val="20"/>
        </w:rPr>
        <w:t>Prawo do otrzymania danych w ustrukturyzowanym formacie (JSON/CSV) - dostępne przez Panel → Ustawienia → Eksport Danych.</w:t>
      </w:r>
    </w:p>
    <w:p>
      <w:pPr>
        <w:spacing w:after="60"/>
        <w:ind w:left="283"/>
      </w:pPr>
      <w:r>
        <w:rPr>
          <w:rFonts w:ascii="Cambria" w:hAnsi="Cambria"/>
          <w:b/>
          <w:sz w:val="20"/>
        </w:rPr>
        <w:t xml:space="preserve">Art. 21 RODO - Prawo do sprzeciwu: </w:t>
      </w:r>
      <w:r>
        <w:rPr>
          <w:rFonts w:ascii="Cambria" w:hAnsi="Cambria"/>
          <w:sz w:val="20"/>
        </w:rPr>
        <w:t>Prawo do wniesienia sprzeciwu wobec przetwarzania opartego na prawnie uzasadnionym interesie (art. 6 ust. 1 lit. f).</w:t>
      </w:r>
    </w:p>
    <w:p>
      <w:pPr>
        <w:spacing w:after="60"/>
        <w:ind w:left="283"/>
      </w:pPr>
      <w:r>
        <w:rPr>
          <w:rFonts w:ascii="Cambria" w:hAnsi="Cambria"/>
          <w:b/>
          <w:sz w:val="20"/>
        </w:rPr>
        <w:t xml:space="preserve">Art. 77 RODO - Prawo do skargi: </w:t>
      </w:r>
      <w:r>
        <w:rPr>
          <w:rFonts w:ascii="Cambria" w:hAnsi="Cambria"/>
          <w:sz w:val="20"/>
        </w:rPr>
        <w:t>Prawo do wniesienia skargi do Prezesa Urzędu Ochrony Danych Osobowych (ul. Stawki 2, 00-193 Warszawa, uodo.gov.pl).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Wnioski dotyczące realizacji praw prosimy kierować na adres hello@qa10.io lub pisemnie na adres Spółki. Termin odpowiedzi: 30 dni (art. 12 ust. 3 RODO), możliwość przedłużenia o kolejne 60 dni przy sprawach złożonych.</w:t>
      </w:r>
    </w:p>
    <w:p>
      <w:pPr>
        <w:spacing w:before="360" w:after="120"/>
        <w:jc w:val="left"/>
        <w:pBdr>
          <w:bottom w:val="single" w:sz="4" w:space="1" w:color="1A1A6C"/>
        </w:pBdr>
      </w:pPr>
      <w:r>
        <w:rPr>
          <w:rFonts w:ascii="Cambria" w:hAnsi="Cambria"/>
          <w:b/>
          <w:color w:val="1A1A6C"/>
          <w:sz w:val="28"/>
        </w:rPr>
        <w:t>6. COOKIES I PRZETWARZANIE W PRZEGLĄDARCE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Platforma Terra.OS wykorzystuje mechanizmy przechowywania danych w przeglądarce:</w:t>
      </w:r>
    </w:p>
    <w:p>
      <w:pPr>
        <w:spacing w:after="40"/>
        <w:ind w:left="283"/>
      </w:pPr>
      <w:r>
        <w:rPr>
          <w:rFonts w:ascii="Cambria" w:hAnsi="Cambria"/>
          <w:b/>
          <w:sz w:val="20"/>
        </w:rPr>
        <w:t xml:space="preserve">• Niezbędne (sessionStorage, localStorage): </w:t>
      </w:r>
      <w:r>
        <w:rPr>
          <w:rFonts w:ascii="Cambria" w:hAnsi="Cambria"/>
          <w:sz w:val="20"/>
        </w:rPr>
        <w:t>Token JWT sesji, preferencje UI - niezbędne do działania usługi. Brak możliwości wyłączenia.</w:t>
      </w:r>
    </w:p>
    <w:p>
      <w:pPr>
        <w:spacing w:after="40"/>
        <w:ind w:left="283"/>
      </w:pPr>
      <w:r>
        <w:rPr>
          <w:rFonts w:ascii="Cambria" w:hAnsi="Cambria"/>
          <w:b/>
          <w:sz w:val="20"/>
        </w:rPr>
        <w:t xml:space="preserve">• Analityczne (opcjonalne): </w:t>
      </w:r>
      <w:r>
        <w:rPr>
          <w:rFonts w:ascii="Cambria" w:hAnsi="Cambria"/>
          <w:sz w:val="20"/>
        </w:rPr>
        <w:t>Anonimowe statystyki korzystania z Platformy - tylko za zgodą.</w:t>
      </w:r>
    </w:p>
    <w:p>
      <w:pPr>
        <w:spacing w:after="40"/>
        <w:ind w:left="283"/>
      </w:pPr>
      <w:r>
        <w:rPr>
          <w:rFonts w:ascii="Cambria" w:hAnsi="Cambria"/>
          <w:b/>
          <w:sz w:val="20"/>
        </w:rPr>
        <w:t xml:space="preserve">• Marketingowe (opcjonalne): </w:t>
      </w:r>
      <w:r>
        <w:rPr>
          <w:rFonts w:ascii="Cambria" w:hAnsi="Cambria"/>
          <w:sz w:val="20"/>
        </w:rPr>
        <w:t>Personalizacja komunikacji - tylko za zgodą.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Zgoda na cookies analitycznych i marketingowych może być wycofana w każdym czasie przez Panel → Ustawienia → Prywatność lub przez usunięcie danych localStorage klucza 'terra_cookie_consent'.</w:t>
      </w:r>
    </w:p>
    <w:p>
      <w:pPr>
        <w:spacing w:before="360" w:after="120"/>
        <w:jc w:val="left"/>
        <w:pBdr>
          <w:bottom w:val="single" w:sz="4" w:space="1" w:color="1A1A6C"/>
        </w:pBdr>
      </w:pPr>
      <w:r>
        <w:rPr>
          <w:rFonts w:ascii="Cambria" w:hAnsi="Cambria"/>
          <w:b/>
          <w:color w:val="1A1A6C"/>
          <w:sz w:val="28"/>
        </w:rPr>
        <w:t>7. BEZPIECZEŃSTWO DANYCH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QA10 sp. z o.o. stosuje następujące środki techniczne i organizacyjne ochrony danych: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Szyfrowanie komunikacji: TLS 1.3 dla wszystkich połączeń klient–serwer.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Szyfrowanie danych w spoczynku na poziomie dysku.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Row Level Security (RLS) PostgreSQL - dane każdej organizacji izolowane na poziomie bazy danych.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Tokeny JWT z 15-minutowym czasem ważności + rotacja tokenów odświeżania.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Haszowanie haseł algorytmem bcrypt (koszt: 12).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Automatyczne kopie zapasowe bazy danych (retencja 30 dni).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Audit trail - pełen dziennik operacji dostępu do danych osobowych.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Procedura reagowania na incydenty zgodna z art. 33 RODO (72h powiadomienie UODO).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Dostęp do danych pracowników na zasadzie minimalnych uprawnień (need-to-know).</w:t>
      </w:r>
    </w:p>
    <w:p>
      <w:pPr>
        <w:spacing w:before="360" w:after="120"/>
        <w:jc w:val="left"/>
        <w:pBdr>
          <w:bottom w:val="single" w:sz="4" w:space="1" w:color="1A1A6C"/>
        </w:pBdr>
      </w:pPr>
      <w:r>
        <w:rPr>
          <w:rFonts w:ascii="Cambria" w:hAnsi="Cambria"/>
          <w:b/>
          <w:color w:val="1A1A6C"/>
          <w:sz w:val="28"/>
        </w:rPr>
        <w:t>8. ZMIANY POLITYKI PRYWATNOŚCI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Polityka Prywatności może być aktualizowana. O istotnych zmianach Usługodawca informuje drogą elektroniczną na adres e-mail Usługobiorcy z wyprzedzeniem co najmniej 30 dni. Aktualna wersja Polityki jest zawsze dostępna pod adresem terra-os.pl/privacy.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Data ostatniej aktualizacji: 15.07.2026</w:t>
      </w:r>
    </w:p>
    <w:p>
      <w:pPr>
        <w:pBdr>
          <w:bottom w:val="single" w:sz="4" w:space="1" w:color="666666"/>
        </w:pBdr>
        <w:spacing w:before="120" w:after="120"/>
      </w:pPr>
    </w:p>
    <w:p>
      <w:pPr>
        <w:spacing w:after="80"/>
        <w:jc w:val="both"/>
      </w:pPr>
      <w:r>
        <w:rPr>
          <w:rFonts w:ascii="Cambria" w:hAnsi="Cambria"/>
          <w:b w:val="0"/>
          <w:i/>
          <w:color w:val="0A0A0F"/>
          <w:sz w:val="20"/>
        </w:rPr>
        <w:t>Dokument wygenerowany: 15.07.2026 | QA10 sp. z o.o. | KRS: 0001232199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color w:val="0A0A0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