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mbria" w:hAnsi="Cambria"/>
          <w:b/>
          <w:color w:val="1A1A6C"/>
          <w:sz w:val="24"/>
        </w:rPr>
        <w:t>QA10 sp. z o.o.</w:t>
      </w:r>
    </w:p>
    <w:p>
      <w:pPr>
        <w:spacing w:after="0"/>
        <w:jc w:val="right"/>
      </w:pPr>
      <w:r>
        <w:rPr>
          <w:rFonts w:ascii="Cambria" w:hAnsi="Cambria"/>
          <w:color w:val="666666"/>
          <w:sz w:val="16"/>
        </w:rPr>
        <w:t>NIP: 9542906279 | KRS: 0001232199</w:t>
        <w:br/>
        <w:t>ul. Mariacka 37, 40-014 Katowice</w:t>
        <w:br/>
        <w:t>hello@qa10.io</w:t>
      </w:r>
    </w:p>
    <w:p>
      <w:pPr>
        <w:pBdr>
          <w:bottom w:val="single" w:sz="4" w:space="1" w:color="666666"/>
        </w:pBdr>
        <w:spacing w:before="120" w:after="120"/>
      </w:pPr>
    </w:p>
    <w:p/>
    <w:p/>
    <w:p>
      <w:pPr>
        <w:spacing w:after="160"/>
        <w:jc w:val="center"/>
      </w:pPr>
      <w:r>
        <w:rPr>
          <w:rFonts w:ascii="Cambria" w:hAnsi="Cambria"/>
          <w:b/>
          <w:color w:val="1A1A6C"/>
          <w:sz w:val="44"/>
        </w:rPr>
        <w:t>UMOWA POWIERZENIA PRZETWARZANIA DANYCH OSOBOWYCH</w:t>
      </w:r>
    </w:p>
    <w:p>
      <w:pPr>
        <w:spacing w:after="480"/>
        <w:jc w:val="center"/>
      </w:pPr>
      <w:r>
        <w:rPr>
          <w:rFonts w:ascii="Cambria" w:hAnsi="Cambria"/>
          <w:color w:val="666666"/>
          <w:sz w:val="26"/>
        </w:rPr>
        <w:t>Data Processing Agreement (DPA)</w:t>
        <w:br/>
        <w:t>zgodnie z art. 28 RODO</w:t>
        <w:br/>
        <w:t>Między QA10 sp. z o.o. a Usługobiorcą</w:t>
      </w:r>
    </w:p>
    <w:p>
      <w:pPr>
        <w:spacing w:after="40"/>
        <w:jc w:val="center"/>
      </w:pPr>
      <w:r>
        <w:rPr>
          <w:rFonts w:ascii="Cambria" w:hAnsi="Cambria"/>
          <w:color w:val="666666"/>
          <w:sz w:val="18"/>
        </w:rPr>
        <w:t>Nr dokumentu: DPA-TERRA-2026-001</w:t>
      </w:r>
    </w:p>
    <w:p>
      <w:pPr>
        <w:spacing w:after="40"/>
        <w:jc w:val="center"/>
      </w:pPr>
      <w:r>
        <w:rPr>
          <w:rFonts w:ascii="Cambria" w:hAnsi="Cambria"/>
          <w:color w:val="666666"/>
          <w:sz w:val="18"/>
        </w:rPr>
        <w:t>Wersja: 2.0</w:t>
      </w:r>
    </w:p>
    <w:p>
      <w:pPr>
        <w:spacing w:after="40"/>
        <w:jc w:val="center"/>
      </w:pPr>
      <w:r>
        <w:rPr>
          <w:rFonts w:ascii="Cambria" w:hAnsi="Cambria"/>
          <w:color w:val="666666"/>
          <w:sz w:val="18"/>
        </w:rPr>
        <w:t>Data: 15.07.2026</w:t>
      </w:r>
    </w:p>
    <w:p>
      <w:pPr>
        <w:spacing w:after="40"/>
        <w:jc w:val="center"/>
      </w:pPr>
      <w:r>
        <w:rPr>
          <w:rFonts w:ascii="Cambria" w:hAnsi="Cambria"/>
          <w:color w:val="666666"/>
          <w:sz w:val="18"/>
        </w:rPr>
        <w:t>Status: Obowiązujący</w:t>
      </w:r>
    </w:p>
    <w:p>
      <w:r>
        <w:br w:type="page"/>
      </w:r>
    </w:p>
    <w:p>
      <w:pPr>
        <w:spacing w:before="360" w:after="120"/>
        <w:jc w:val="left"/>
        <w:pBdr>
          <w:bottom w:val="single" w:sz="4" w:space="1" w:color="1A1A6C"/>
        </w:pBdr>
      </w:pPr>
      <w:r>
        <w:rPr>
          <w:rFonts w:ascii="Cambria" w:hAnsi="Cambria"/>
          <w:b/>
          <w:color w:val="1A1A6C"/>
          <w:sz w:val="28"/>
        </w:rPr>
        <w:t>STRONY UMOWY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Niniejsza Umowa Powierzenia Przetwarzania Danych Osobowych (dalej: Umowa DPA) zawarta jest pomiedzy:</w:t>
      </w:r>
    </w:p>
    <w:p>
      <w:pPr>
        <w:spacing w:after="80"/>
        <w:ind w:left="283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1. PODMIOTEM PRZETWARZAJACYM (Processor):</w:t>
        <w:br/>
        <w:t>QA10 sp. z o.o., ul. Mariacka 37, 40-014 Katowice, KRS: 0001232199, NIP: 9542906279</w:t>
        <w:br/>
        <w:t>Reprezentowany przez: Mateusz Jakimów - Prezes Zarzadu</w:t>
        <w:br/>
        <w:t>(dalej: QA10 lub Podmiot Przetwarzajacy)</w:t>
      </w:r>
    </w:p>
    <w:p>
      <w:pPr>
        <w:spacing w:after="80"/>
        <w:ind w:left="283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2. ADMINISTRATOREM DANYCH (Controller):</w:t>
        <w:br/>
        <w:t>_______________________________</w:t>
        <w:br/>
        <w:t>(nazwa, adres, KRS/PESEL, NIP, reprezentant)</w:t>
        <w:br/>
        <w:t>(dalej: Administrator)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lacznie zwanych Stronami.</w:t>
      </w:r>
    </w:p>
    <w:p>
      <w:pPr>
        <w:pBdr>
          <w:bottom w:val="single" w:sz="4" w:space="1" w:color="666666"/>
        </w:pBdr>
        <w:spacing w:before="120" w:after="120"/>
      </w:pPr>
    </w:p>
    <w:p>
      <w:pPr>
        <w:spacing w:before="360" w:after="120"/>
        <w:jc w:val="left"/>
        <w:pBdr>
          <w:bottom w:val="single" w:sz="4" w:space="1" w:color="1A1A6C"/>
        </w:pBdr>
      </w:pPr>
      <w:r>
        <w:rPr>
          <w:rFonts w:ascii="Cambria" w:hAnsi="Cambria"/>
          <w:b/>
          <w:color w:val="1A1A6C"/>
          <w:sz w:val="28"/>
        </w:rPr>
        <w:t>§ 1. PODSTAWA I PRZEDMIOT POWIERZENIA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1. Niniejsza Umowa DPA zawierana jest w wykonaniu art. 28 ust. 3 RODO i stanowi integralny załącznik do Umowy o świadczenie usługi Terra.OS (Regulamin TOS-TERRA-2026-001).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2. Na mocy niniejszej Umowy DPA Administrator powierza Podmiotowi Przetwarzającemu przetwarzanie danych osobowych w zakresie i celu niezbędnym do świadczenia usługi Terra.OS.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3. Podmiot Przetwarzający przetwarza dane wyłącznie na udokumentowane polecenie Administratora, chyba że obowiązek taki nakłada na niego prawo Unii lub prawo polskie, o czym informuje Administratora przed przetwarzaniem - chyba że prawo zakazuje udzielania takiej informacji.</w:t>
      </w:r>
    </w:p>
    <w:p>
      <w:pPr>
        <w:spacing w:before="360" w:after="120"/>
        <w:jc w:val="left"/>
        <w:pBdr>
          <w:bottom w:val="single" w:sz="4" w:space="1" w:color="1A1A6C"/>
        </w:pBdr>
      </w:pPr>
      <w:r>
        <w:rPr>
          <w:rFonts w:ascii="Cambria" w:hAnsi="Cambria"/>
          <w:b/>
          <w:color w:val="1A1A6C"/>
          <w:sz w:val="28"/>
        </w:rPr>
        <w:t>§ 2. ZAKRES I CHARAKTER PRZETWARZANIA</w:t>
      </w:r>
    </w:p>
    <w:p>
      <w:pPr>
        <w:spacing w:before="240" w:after="60"/>
      </w:pPr>
      <w:r>
        <w:rPr>
          <w:rFonts w:ascii="Cambria" w:hAnsi="Cambria"/>
          <w:b/>
          <w:color w:val="1A1A6C"/>
          <w:sz w:val="23"/>
        </w:rPr>
        <w:t>2.1 Kategorie danych osobowych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Dane identyfikacyjne: imię, nazwisko, adres e-mail, numer telefonu (pracownicy i reprezentanci Administratora korzystający z Platformy).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Dane organizacyjne: nazwa podmiotu, NIP, REGON, adres siedziby.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Dane uwierzytelniające: skróty haseł (bcrypt), tokeny sesji (SHA-256).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Dane techniczne: adresy IP, logi dostępu, user-agent, znaczniki czasowe operacji.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Dane zgód: IP, user-agent, znacznik czasowy i treść zgody.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Dane dotyczące działalności przetargowej: oferty, kosztorysy, decyzje, wyniki przetargów wprowadzone przez Administratora - wyłącznie w zakresie, w jakim zawierają dane osobowe osób trzecich.</w:t>
      </w:r>
    </w:p>
    <w:p>
      <w:pPr>
        <w:spacing w:before="240" w:after="60"/>
      </w:pPr>
      <w:r>
        <w:rPr>
          <w:rFonts w:ascii="Cambria" w:hAnsi="Cambria"/>
          <w:b/>
          <w:color w:val="1A1A6C"/>
          <w:sz w:val="23"/>
        </w:rPr>
        <w:t>2.2 Kategorie osób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Pracownicy i współpracownicy Administratora korzystający z Platformy.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Osoby, których dane Administrator wprowadził do Platformy (np. dane reprezentantów zamawiających, podwykonawców).</w:t>
      </w:r>
    </w:p>
    <w:p>
      <w:pPr>
        <w:spacing w:before="240" w:after="60"/>
      </w:pPr>
      <w:r>
        <w:rPr>
          <w:rFonts w:ascii="Cambria" w:hAnsi="Cambria"/>
          <w:b/>
          <w:color w:val="1A1A6C"/>
          <w:sz w:val="23"/>
        </w:rPr>
        <w:t>2.3 Cel i charakter przetwarzania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Przetwarzanie odbywa się w celu świadczenia usługi Terra.OS, obejmującej: monitorowanie przetargów, analizę dokumentacji, scoring, kosztorysowanie, generowanie raportów i powiadomień. Charakter: wspomagane przez AI przetwarzanie danych biznesowych.</w:t>
      </w:r>
    </w:p>
    <w:p>
      <w:pPr>
        <w:spacing w:before="240" w:after="60"/>
      </w:pPr>
      <w:r>
        <w:rPr>
          <w:rFonts w:ascii="Cambria" w:hAnsi="Cambria"/>
          <w:b/>
          <w:color w:val="1A1A6C"/>
          <w:sz w:val="23"/>
        </w:rPr>
        <w:t>2.4 Czas przetwarzania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Przetwarzanie trwa przez okres obowiązywania Umowy o świadczenie usługi Terra.OS. Po jej wygaśnięciu Podmiot Przetwarzający usuwa lub zwraca dane w terminie 30 dni (§ 7).</w:t>
      </w:r>
    </w:p>
    <w:p>
      <w:pPr>
        <w:spacing w:before="360" w:after="120"/>
        <w:jc w:val="left"/>
        <w:pBdr>
          <w:bottom w:val="single" w:sz="4" w:space="1" w:color="1A1A6C"/>
        </w:pBdr>
      </w:pPr>
      <w:r>
        <w:rPr>
          <w:rFonts w:ascii="Cambria" w:hAnsi="Cambria"/>
          <w:b/>
          <w:color w:val="1A1A6C"/>
          <w:sz w:val="28"/>
        </w:rPr>
        <w:t>§ 3. OBOWIĄZKI PODMIOTU PRZETWARZAJĄCEGO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Podmiot Przetwarzający zobowiązuje się do:</w:t>
      </w:r>
    </w:p>
    <w:p>
      <w:pPr>
        <w:spacing w:after="60"/>
        <w:ind w:left="283"/>
        <w:jc w:val="both"/>
      </w:pPr>
      <w:r>
        <w:rPr>
          <w:rFonts w:ascii="Cambria" w:hAnsi="Cambria"/>
          <w:sz w:val="20"/>
        </w:rPr>
        <w:t>1. Przetwarzania danych wyłącznie na udokumentowane polecenie Administratora.</w:t>
      </w:r>
    </w:p>
    <w:p>
      <w:pPr>
        <w:spacing w:after="60"/>
        <w:ind w:left="283"/>
        <w:jc w:val="both"/>
      </w:pPr>
      <w:r>
        <w:rPr>
          <w:rFonts w:ascii="Cambria" w:hAnsi="Cambria"/>
          <w:sz w:val="20"/>
        </w:rPr>
        <w:t>2. Zapewnienia poufności danych przez osoby upoważnione do ich przetwarzania - stosowanie zobowiązań do zachowania tajemnicy wobec pracowników i współpracowników.</w:t>
      </w:r>
    </w:p>
    <w:p>
      <w:pPr>
        <w:spacing w:after="60"/>
        <w:ind w:left="283"/>
        <w:jc w:val="both"/>
      </w:pPr>
      <w:r>
        <w:rPr>
          <w:rFonts w:ascii="Cambria" w:hAnsi="Cambria"/>
          <w:sz w:val="20"/>
        </w:rPr>
        <w:t>3. Wdrożenia środków bezpieczeństwa zgodnych z art. 32 RODO: szyfrowanie TLS 1.3, bcrypt, Row Level Security (RLS), backup, audit trail, procedury incydentalne.</w:t>
      </w:r>
    </w:p>
    <w:p>
      <w:pPr>
        <w:spacing w:after="60"/>
        <w:ind w:left="283"/>
        <w:jc w:val="both"/>
      </w:pPr>
      <w:r>
        <w:rPr>
          <w:rFonts w:ascii="Cambria" w:hAnsi="Cambria"/>
          <w:sz w:val="20"/>
        </w:rPr>
        <w:t>4. Pomocy Administratorowi w realizacji praw osób (art. 15-22 RODO) przez udostępnienie odpowiednich endpointów API: GET /api/v2/gdpr/export, DELETE /api/v2/gdpr/account.</w:t>
      </w:r>
    </w:p>
    <w:p>
      <w:pPr>
        <w:spacing w:after="60"/>
        <w:ind w:left="283"/>
        <w:jc w:val="both"/>
      </w:pPr>
      <w:r>
        <w:rPr>
          <w:rFonts w:ascii="Cambria" w:hAnsi="Cambria"/>
          <w:sz w:val="20"/>
        </w:rPr>
        <w:t>5. Powiadomienia Administratora o każdym naruszeniu ochrony danych osobowych niezwłocznie, nie później niż 24 godziny od jego wykrycia.</w:t>
      </w:r>
    </w:p>
    <w:p>
      <w:pPr>
        <w:spacing w:after="60"/>
        <w:ind w:left="283"/>
        <w:jc w:val="both"/>
      </w:pPr>
      <w:r>
        <w:rPr>
          <w:rFonts w:ascii="Cambria" w:hAnsi="Cambria"/>
          <w:sz w:val="20"/>
        </w:rPr>
        <w:t>6. Udostępnienia Administratorowi wszelkich informacji niezbędnych do wykazania zgodności z obowiązkami procesora (prawo audytu).</w:t>
      </w:r>
    </w:p>
    <w:p>
      <w:pPr>
        <w:spacing w:after="60"/>
        <w:ind w:left="283"/>
        <w:jc w:val="both"/>
      </w:pPr>
      <w:r>
        <w:rPr>
          <w:rFonts w:ascii="Cambria" w:hAnsi="Cambria"/>
          <w:sz w:val="20"/>
        </w:rPr>
        <w:t>7. Poinformowania Administratora o zamiarze korzystania z sub-procesorów lub zmianie sub-procesorów - z wyprzedzeniem co najmniej 14 dni.</w:t>
      </w:r>
    </w:p>
    <w:p>
      <w:pPr>
        <w:spacing w:before="360" w:after="120"/>
        <w:jc w:val="left"/>
        <w:pBdr>
          <w:bottom w:val="single" w:sz="4" w:space="1" w:color="1A1A6C"/>
        </w:pBdr>
      </w:pPr>
      <w:r>
        <w:rPr>
          <w:rFonts w:ascii="Cambria" w:hAnsi="Cambria"/>
          <w:b/>
          <w:color w:val="1A1A6C"/>
          <w:sz w:val="28"/>
        </w:rPr>
        <w:t>§ 4. SUB-PROCESORZY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1. Administrator niniejszym wyraża ogólną zgodę na korzystanie przez Podmiot Przetwarzający z usług sub-procesorów wymienionych w Załączniku nr 1 do niniejszej Umowy DPA.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2. Podmiot Przetwarzający zobowiązuje się nakładać na sub-procesorów te same obowiązki ochrony danych, które ciążą na nim na mocy niniejszej Umowy DPA.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3. Podmiot Przetwarzający poinformuje Administratora o wszelkich zmianach dotyczących sub-procesorów (dodanie, zastąpienie) z wyprzedzeniem co najmniej 14 dni, co pozwoli Administratorowi zgłosić sprzeciw. Brak sprzeciwu w tym terminie traktowany jest jako zgoda.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4. Lista aktualnych sub-procesorów: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1A6C"/>
          </w:tcPr>
          <w:p>
            <w:r>
              <w:rPr>
                <w:rFonts w:ascii="Cambria" w:hAnsi="Cambria"/>
                <w:b/>
                <w:color w:val="FFFFFF"/>
                <w:sz w:val="18"/>
              </w:rPr>
              <w:t>Sub-procesor</w:t>
            </w:r>
          </w:p>
        </w:tc>
        <w:tc>
          <w:tcPr>
            <w:tcW w:type="dxa" w:w="3041"/>
            <w:shd w:val="clear" w:color="auto" w:fill="1A1A6C"/>
          </w:tcPr>
          <w:p>
            <w:r>
              <w:rPr>
                <w:rFonts w:ascii="Cambria" w:hAnsi="Cambria"/>
                <w:b/>
                <w:color w:val="FFFFFF"/>
                <w:sz w:val="18"/>
              </w:rPr>
              <w:t>Lokalizacja</w:t>
            </w:r>
          </w:p>
        </w:tc>
        <w:tc>
          <w:tcPr>
            <w:tcW w:type="dxa" w:w="3041"/>
            <w:shd w:val="clear" w:color="auto" w:fill="1A1A6C"/>
          </w:tcPr>
          <w:p>
            <w:r>
              <w:rPr>
                <w:rFonts w:ascii="Cambria" w:hAnsi="Cambria"/>
                <w:b/>
                <w:color w:val="FFFFFF"/>
                <w:sz w:val="18"/>
              </w:rPr>
              <w:t>Cel</w:t>
            </w:r>
          </w:p>
        </w:tc>
      </w:tr>
      <w:tr>
        <w:tc>
          <w:tcPr>
            <w:tcW w:type="dxa" w:w="3041"/>
          </w:tcPr>
          <w:p>
            <w:r>
              <w:rPr>
                <w:rFonts w:ascii="Cambria" w:hAnsi="Cambria"/>
                <w:sz w:val="17"/>
              </w:rPr>
              <w:t>Amazon Web Services EMEA SARL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7"/>
              </w:rPr>
              <w:t>Frankfurt, DE (UE)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7"/>
              </w:rPr>
              <w:t>Infrastruktura serwerowa EC2 eu-central-1</w:t>
            </w:r>
          </w:p>
        </w:tc>
      </w:tr>
      <w:tr>
        <w:tc>
          <w:tcPr>
            <w:tcW w:type="dxa" w:w="3041"/>
          </w:tcPr>
          <w:p>
            <w:r>
              <w:rPr>
                <w:rFonts w:ascii="Cambria" w:hAnsi="Cambria"/>
                <w:sz w:val="17"/>
              </w:rPr>
              <w:t>Stripe, Inc.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7"/>
              </w:rPr>
              <w:t>San Francisco, USA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7"/>
              </w:rPr>
              <w:t>Obsługa płatności - transfer na podstawie SCC</w:t>
            </w:r>
          </w:p>
        </w:tc>
      </w:tr>
      <w:tr>
        <w:tc>
          <w:tcPr>
            <w:tcW w:type="dxa" w:w="3041"/>
          </w:tcPr>
          <w:p>
            <w:r>
              <w:rPr>
                <w:rFonts w:ascii="Cambria" w:hAnsi="Cambria"/>
                <w:sz w:val="17"/>
              </w:rPr>
              <w:t>Resend, Inc.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7"/>
              </w:rPr>
              <w:t>San Francisco, USA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7"/>
              </w:rPr>
              <w:t>E-mail transakcyjny - transfer na podstawie SCC</w:t>
            </w:r>
          </w:p>
        </w:tc>
      </w:tr>
      <w:tr>
        <w:tc>
          <w:tcPr>
            <w:tcW w:type="dxa" w:w="3041"/>
          </w:tcPr>
          <w:p>
            <w:r>
              <w:rPr>
                <w:rFonts w:ascii="Cambria" w:hAnsi="Cambria"/>
                <w:sz w:val="17"/>
              </w:rPr>
              <w:t>Anthropic PBC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7"/>
              </w:rPr>
              <w:t>San Francisco, USA</w:t>
            </w:r>
          </w:p>
        </w:tc>
        <w:tc>
          <w:tcPr>
            <w:tcW w:type="dxa" w:w="3041"/>
          </w:tcPr>
          <w:p>
            <w:r>
              <w:rPr>
                <w:rFonts w:ascii="Cambria" w:hAnsi="Cambria"/>
                <w:sz w:val="17"/>
              </w:rPr>
              <w:t>API AI (analiza risk) - transfer na podstawie SCC - tylko jeśli API key skonfigurowany</w:t>
            </w:r>
          </w:p>
        </w:tc>
      </w:tr>
    </w:tbl>
    <w:p/>
    <w:p>
      <w:pPr>
        <w:spacing w:before="360" w:after="120"/>
        <w:jc w:val="left"/>
        <w:pBdr>
          <w:bottom w:val="single" w:sz="4" w:space="1" w:color="1A1A6C"/>
        </w:pBdr>
      </w:pPr>
      <w:r>
        <w:rPr>
          <w:rFonts w:ascii="Cambria" w:hAnsi="Cambria"/>
          <w:b/>
          <w:color w:val="1A1A6C"/>
          <w:sz w:val="28"/>
        </w:rPr>
        <w:t>§ 5. TRANSFER DANYCH DO PAŃSTW TRZECICH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1. Dane przechowywane na serwerach AWS eu-central-1 (Frankfurt) nie są transferowane poza EOG.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2. Dane przekazywane do Stripe, Resend i Anthropic (USA) transferowane są na podstawie Standardowych Klauzul Umownych (SCC) zgodnie z Decyzją Wykonawczą Komisji Europejskiej 2021/914/UE.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3. Podmiot Przetwarzający informuje Administratora o każdej nowej podstawie transferu lub zmianie podstawy w trybie § 4 ust. 3.</w:t>
      </w:r>
    </w:p>
    <w:p>
      <w:pPr>
        <w:spacing w:before="360" w:after="120"/>
        <w:jc w:val="left"/>
        <w:pBdr>
          <w:bottom w:val="single" w:sz="4" w:space="1" w:color="1A1A6C"/>
        </w:pBdr>
      </w:pPr>
      <w:r>
        <w:rPr>
          <w:rFonts w:ascii="Cambria" w:hAnsi="Cambria"/>
          <w:b/>
          <w:color w:val="1A1A6C"/>
          <w:sz w:val="28"/>
        </w:rPr>
        <w:t>§ 6. PRAWO AUDYTU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1. Administrator ma prawo przeprowadzenia audytu zgodności Podmiotu Przetwarzającego z niniejszą Umową DPA raz w roku lub w razie uzasadnionych podejrzeń naruszenia.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2. Audyt przeprowadzany jest z co najmniej 7-dniowym wyprzedzeniem, w godzinach pracy Podmiotu Przetwarzającego, przez Administratora lub upoważnionego audytora związanego zobowiązaniem poufności.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3. Koszty audytu ponosi Administrator, chyba że audyt ujawni istotne naruszenie - wówczas koszty pokrywa Podmiot Przetwarzający.</w:t>
      </w:r>
    </w:p>
    <w:p>
      <w:pPr>
        <w:spacing w:before="360" w:after="120"/>
        <w:jc w:val="left"/>
        <w:pBdr>
          <w:bottom w:val="single" w:sz="4" w:space="1" w:color="1A1A6C"/>
        </w:pBdr>
      </w:pPr>
      <w:r>
        <w:rPr>
          <w:rFonts w:ascii="Cambria" w:hAnsi="Cambria"/>
          <w:b/>
          <w:color w:val="1A1A6C"/>
          <w:sz w:val="28"/>
        </w:rPr>
        <w:t>§ 7. USUNIĘCIE I ZWROT DANYCH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1. Po zakończeniu świadczenia usługi Terra.OS Podmiot Przetwarzający, według wyboru Administratora: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Umożliwia Administratorowi eksport wszystkich Danych Klienta w formacie JSON/CSV przez 30 dni od zakończenia Umowy, lub</w:t>
      </w:r>
    </w:p>
    <w:p>
      <w:pPr>
        <w:pStyle w:val="ListBullet"/>
        <w:spacing w:after="40"/>
        <w:ind w:left="283"/>
      </w:pPr>
      <w:r>
        <w:rPr>
          <w:rFonts w:ascii="Cambria" w:hAnsi="Cambria"/>
          <w:color w:val="0A0A0F"/>
          <w:sz w:val="20"/>
        </w:rPr>
        <w:t>Na udokumentowany wniosek Administratora - usuwa wszystkie dane w sposób trwały i uniemożliwiający odtworzenie.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2. Podmiot Przetwarzający potwierdza Administratorowi pisemnie (lub e-mailem) wykonanie usunięcia w terminie 7 dni.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3. Podmiot Przetwarzający może zachować dane w zakresie wymaganym przepisami prawa (np. dokumentacja księgowa - 5 lat), informując o tym Administratora.</w:t>
      </w:r>
    </w:p>
    <w:p>
      <w:pPr>
        <w:spacing w:before="360" w:after="120"/>
        <w:jc w:val="left"/>
        <w:pBdr>
          <w:bottom w:val="single" w:sz="4" w:space="1" w:color="1A1A6C"/>
        </w:pBdr>
      </w:pPr>
      <w:r>
        <w:rPr>
          <w:rFonts w:ascii="Cambria" w:hAnsi="Cambria"/>
          <w:b/>
          <w:color w:val="1A1A6C"/>
          <w:sz w:val="28"/>
        </w:rPr>
        <w:t>§ 8. POSTANOWIENIA KOŃCOWE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1. Umowa DPA wchodzi w życie z chwilą zaakceptowania Regulaminu Terra.OS lub podpisania niniejszego dokumentu.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2. W sprawach nieuregulowanych niniejszą Umową DPA stosuje się przepisy RODO i prawa polskiego.</w:t>
      </w: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3. Wszelkie zmiany Umowy DPA wymagają formy pisemnej lub elektronicznej pod rygorem nieważności.</w:t>
      </w:r>
    </w:p>
    <w:p>
      <w:pPr>
        <w:pBdr>
          <w:bottom w:val="single" w:sz="4" w:space="1" w:color="666666"/>
        </w:pBdr>
        <w:spacing w:before="120" w:after="120"/>
      </w:pPr>
    </w:p>
    <w:p>
      <w:pPr>
        <w:spacing w:after="80"/>
        <w:jc w:val="both"/>
      </w:pPr>
      <w:r>
        <w:rPr>
          <w:rFonts w:ascii="Cambria" w:hAnsi="Cambria"/>
          <w:b w:val="0"/>
          <w:i w:val="0"/>
          <w:color w:val="0A0A0F"/>
          <w:sz w:val="20"/>
        </w:rPr>
        <w:t>ZAŁĄCZNIK NR 1: Lista sub-procesorów - aktualna lista pod adresem terra-os.pl/legal/subprocessors</w:t>
      </w:r>
    </w:p>
    <w:p/>
    <w:p/>
    <w:p>
      <w:pPr>
        <w:spacing w:after="80"/>
        <w:jc w:val="both"/>
      </w:pPr>
      <w:r>
        <w:rPr>
          <w:rFonts w:ascii="Cambria" w:hAnsi="Cambria"/>
          <w:b/>
          <w:i w:val="0"/>
          <w:color w:val="0A0A0F"/>
          <w:sz w:val="20"/>
        </w:rPr>
        <w:t>PODPISY STRON</w:t>
      </w:r>
    </w:p>
    <w:p>
      <w:pPr>
        <w:pBdr>
          <w:bottom w:val="single" w:sz="4" w:space="1" w:color="666666"/>
        </w:pBdr>
        <w:spacing w:before="12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Cambria" w:hAnsi="Cambria"/>
                <w:b/>
                <w:sz w:val="18"/>
              </w:rPr>
              <w:t>Podmiot Przetwarzający (QA10)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Cambria" w:hAnsi="Cambria"/>
                <w:b/>
                <w:sz w:val="18"/>
              </w:rPr>
              <w:t>Administrator Danych</w:t>
            </w:r>
          </w:p>
        </w:tc>
      </w:tr>
      <w:tr>
        <w:tc>
          <w:tcPr>
            <w:tcW w:type="dxa" w:w="4561"/>
          </w:tcPr>
          <w:p>
            <w:r>
              <w:rPr>
                <w:rFonts w:ascii="Cambria" w:hAnsi="Cambria"/>
                <w:b/>
                <w:sz w:val="18"/>
              </w:rPr>
              <w:t>QA10 sp. z o.o.</w:t>
            </w:r>
          </w:p>
        </w:tc>
        <w:tc>
          <w:tcPr>
            <w:tcW w:type="dxa" w:w="4561"/>
          </w:tcPr>
          <w:p>
            <w:r>
              <w:rPr>
                <w:rFonts w:ascii="Cambria" w:hAnsi="Cambria"/>
                <w:b w:val="0"/>
                <w:sz w:val="18"/>
              </w:rPr>
              <w:t>_______________________________</w:t>
            </w:r>
          </w:p>
        </w:tc>
      </w:tr>
      <w:tr>
        <w:tc>
          <w:tcPr>
            <w:tcW w:type="dxa" w:w="4561"/>
          </w:tcPr>
          <w:p>
            <w:r>
              <w:rPr>
                <w:rFonts w:ascii="Cambria" w:hAnsi="Cambria"/>
                <w:b w:val="0"/>
                <w:sz w:val="18"/>
              </w:rPr>
              <w:t>ul. Mariacka 37, 40-014 Katowice</w:t>
            </w:r>
          </w:p>
        </w:tc>
        <w:tc>
          <w:tcPr>
            <w:tcW w:type="dxa" w:w="4561"/>
          </w:tcPr>
          <w:p>
            <w:r>
              <w:rPr>
                <w:rFonts w:ascii="Cambria" w:hAnsi="Cambria"/>
                <w:b w:val="0"/>
                <w:sz w:val="18"/>
              </w:rPr>
              <w:t>(firma / imię i nazwisko)</w:t>
            </w:r>
          </w:p>
        </w:tc>
      </w:tr>
      <w:tr>
        <w:tc>
          <w:tcPr>
            <w:tcW w:type="dxa" w:w="4561"/>
          </w:tcPr>
          <w:p>
            <w:r>
              <w:rPr>
                <w:rFonts w:ascii="Cambria" w:hAnsi="Cambria"/>
                <w:b w:val="0"/>
                <w:sz w:val="18"/>
              </w:rPr>
              <w:br/>
              <w:br/>
              <w:t>_____________________</w:t>
              <w:br/>
              <w:t>Data i podpis</w:t>
            </w:r>
          </w:p>
        </w:tc>
        <w:tc>
          <w:tcPr>
            <w:tcW w:type="dxa" w:w="4561"/>
          </w:tcPr>
          <w:p>
            <w:r>
              <w:rPr>
                <w:rFonts w:ascii="Cambria" w:hAnsi="Cambria"/>
                <w:b w:val="0"/>
                <w:sz w:val="18"/>
              </w:rPr>
              <w:br/>
              <w:br/>
              <w:t>_____________________</w:t>
              <w:br/>
              <w:t>Data i podpis</w:t>
            </w:r>
          </w:p>
        </w:tc>
      </w:tr>
    </w:tbl>
    <w:p/>
    <w:p>
      <w:pPr>
        <w:spacing w:after="80"/>
        <w:jc w:val="both"/>
      </w:pPr>
      <w:r>
        <w:rPr>
          <w:rFonts w:ascii="Cambria" w:hAnsi="Cambria"/>
          <w:b w:val="0"/>
          <w:i/>
          <w:color w:val="0A0A0F"/>
          <w:sz w:val="20"/>
        </w:rPr>
        <w:t>Katowice, dnia _________________ 20___ r.</w:t>
      </w:r>
    </w:p>
    <w:p>
      <w:pPr>
        <w:pBdr>
          <w:bottom w:val="single" w:sz="4" w:space="1" w:color="666666"/>
        </w:pBdr>
        <w:spacing w:before="120" w:after="120"/>
      </w:pPr>
    </w:p>
    <w:p>
      <w:pPr>
        <w:spacing w:after="80"/>
        <w:jc w:val="both"/>
      </w:pPr>
      <w:r>
        <w:rPr>
          <w:rFonts w:ascii="Cambria" w:hAnsi="Cambria"/>
          <w:b w:val="0"/>
          <w:i/>
          <w:color w:val="0A0A0F"/>
          <w:sz w:val="20"/>
        </w:rPr>
        <w:t>Dokument wygenerowany: 15.07.2026 | QA10 sp. z o.o. | KRS: 0001232199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color w:val="0A0A0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