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mbria" w:hAnsi="Cambria"/>
          <w:b/>
          <w:color w:val="1A1A6C"/>
          <w:sz w:val="24"/>
        </w:rPr>
        <w:t>QA10 sp. z o.o.</w:t>
      </w:r>
    </w:p>
    <w:p>
      <w:pPr>
        <w:spacing w:after="0"/>
        <w:jc w:val="right"/>
      </w:pPr>
      <w:r>
        <w:rPr>
          <w:rFonts w:ascii="Cambria" w:hAnsi="Cambria"/>
          <w:color w:val="666666"/>
          <w:sz w:val="16"/>
        </w:rPr>
        <w:t>NIP: 9542906279 | KRS: 0001232199</w:t>
        <w:br/>
        <w:t>ul. Mariacka 37, 40-014 Katowice</w:t>
        <w:br/>
        <w:t>hello@qa10.io</w:t>
      </w:r>
    </w:p>
    <w:p>
      <w:pPr>
        <w:pBdr>
          <w:bottom w:val="single" w:sz="4" w:space="1" w:color="666666"/>
        </w:pBdr>
        <w:spacing w:before="120" w:after="120"/>
      </w:pPr>
    </w:p>
    <w:p/>
    <w:p/>
    <w:p>
      <w:pPr>
        <w:spacing w:after="160"/>
        <w:jc w:val="center"/>
      </w:pPr>
      <w:r>
        <w:rPr>
          <w:rFonts w:ascii="Cambria" w:hAnsi="Cambria"/>
          <w:b/>
          <w:color w:val="1A1A6C"/>
          <w:sz w:val="44"/>
        </w:rPr>
        <w:t>UMOWA WDROŻENIOWA</w:t>
        <w:br/>
        <w:t>YU-NA INTELLIGENCE DEPLOYMENT</w:t>
      </w:r>
    </w:p>
    <w:p>
      <w:pPr>
        <w:spacing w:after="480"/>
        <w:jc w:val="center"/>
      </w:pPr>
      <w:r>
        <w:rPr>
          <w:rFonts w:ascii="Cambria" w:hAnsi="Cambria"/>
          <w:color w:val="666666"/>
          <w:sz w:val="26"/>
        </w:rPr>
        <w:t>On-Premise Deployment + Fine-Tuning AI na Infrastrukturze Klienta</w:t>
        <w:br/>
        <w:t>QA10 sp. z o.o. - Usługodawca</w:t>
        <w:br/>
        <w:br/>
        <w:t>Nr umowy: _______________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Nr dokumentu: YU-NA-WDROZ-2026-001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Wersja: 1.0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Data: 15.07.2026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Status: Obowiązujący</w:t>
      </w:r>
    </w:p>
    <w:p>
      <w:r>
        <w:br w:type="page"/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STRONY UMOWY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Niniejsza Umowa Wdrozeniowa (dalej: Umowa) zawarta jest w Katowicach, dnia _______________ r., pomiedzy:</w:t>
      </w:r>
    </w:p>
    <w:p>
      <w:pPr>
        <w:spacing w:after="80"/>
        <w:ind w:left="283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USLUGODAWCA:</w:t>
        <w:br/>
        <w:t>QA10 sp. z o.o.</w:t>
        <w:br/>
        <w:t>ul. Mariacka 37, 40-014 Katowice</w:t>
        <w:br/>
        <w:t>KRS: 0001232199, NIP: 9542906279, REGON: 544435060</w:t>
        <w:br/>
        <w:t>Reprezentowany przez: Mateusz Jakimów - Prezes Zarzadu</w:t>
        <w:br/>
        <w:t>(dalej: QA10)</w:t>
      </w:r>
    </w:p>
    <w:p>
      <w:pPr>
        <w:spacing w:after="80"/>
        <w:ind w:left="283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USLUGOBIORCA (KLIENTEM):</w:t>
        <w:br/>
        <w:t>_______________________________</w:t>
        <w:br/>
        <w:t>z siedziba: _______________________________________________</w:t>
        <w:br/>
        <w:t>KRS/CEIDG: _______________, NIP: _______________</w:t>
        <w:br/>
        <w:t>Reprezentowany przez: ___________________________</w:t>
        <w:br/>
        <w:t>(dalej: Klient)</w:t>
      </w:r>
    </w:p>
    <w:p>
      <w:pPr>
        <w:pBdr>
          <w:bottom w:val="single" w:sz="4" w:space="1" w:color="666666"/>
        </w:pBdr>
        <w:spacing w:before="120" w:after="120"/>
      </w:pP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1. DEFINICJE</w:t>
      </w:r>
    </w:p>
    <w:p>
      <w:pPr>
        <w:spacing w:after="60"/>
        <w:ind w:left="283"/>
        <w:jc w:val="both"/>
      </w:pPr>
      <w:r>
        <w:rPr>
          <w:rFonts w:ascii="Cambria" w:hAnsi="Cambria"/>
          <w:b/>
          <w:sz w:val="20"/>
        </w:rPr>
        <w:t xml:space="preserve">&lt;&lt;System Yu-NA&gt;&gt; - </w:t>
      </w:r>
      <w:r>
        <w:rPr>
          <w:rFonts w:ascii="Cambria" w:hAnsi="Cambria"/>
          <w:sz w:val="20"/>
        </w:rPr>
        <w:t>Platforma Terra.OS wraz z modułem sztucznej inteligencji Yu-NA, obejmująca: wszystkie moduły backendowe Terra.OS, wytrenowany lokalnie model językowy (LLM fine-tuned), semantyczny silnik wyszukiwania przetargów, moduł scoringu i estymacji win-probability, kosztorysowania ICB, analizy ryzyka SWZ oraz audit trail zgodny z NIS2.</w:t>
      </w:r>
    </w:p>
    <w:p>
      <w:pPr>
        <w:spacing w:after="60"/>
        <w:ind w:left="283"/>
        <w:jc w:val="both"/>
      </w:pPr>
      <w:r>
        <w:rPr>
          <w:rFonts w:ascii="Cambria" w:hAnsi="Cambria"/>
          <w:b/>
          <w:sz w:val="20"/>
        </w:rPr>
        <w:t xml:space="preserve">&lt;&lt;Wdrożenie On-Premise&gt;&gt; - </w:t>
      </w:r>
      <w:r>
        <w:rPr>
          <w:rFonts w:ascii="Cambria" w:hAnsi="Cambria"/>
          <w:sz w:val="20"/>
        </w:rPr>
        <w:t>Instalacja Systemu Yu-NA na infrastrukturze serwerowej Klienta (własne serwery lub prywatna chmura zarządzana przez Klienta), z pełnym transferem oprogramowania i konfiguracji, gwarantując, że dane Klienta nie opuszczają jego infrastruktury.</w:t>
      </w:r>
    </w:p>
    <w:p>
      <w:pPr>
        <w:spacing w:after="60"/>
        <w:ind w:left="283"/>
        <w:jc w:val="both"/>
      </w:pPr>
      <w:r>
        <w:rPr>
          <w:rFonts w:ascii="Cambria" w:hAnsi="Cambria"/>
          <w:b/>
          <w:sz w:val="20"/>
        </w:rPr>
        <w:t xml:space="preserve">&lt;&lt;Fine-Tuning&gt;&gt; - </w:t>
      </w:r>
      <w:r>
        <w:rPr>
          <w:rFonts w:ascii="Cambria" w:hAnsi="Cambria"/>
          <w:sz w:val="20"/>
        </w:rPr>
        <w:t>Dostosowanie bazowego modelu językowego do specyfiki branżowej i danych historycznych Klienta poprzez proces uczenia maszynowego (LoRA fine-tuning) wykonywanego przez zespół QA10 na danych dostarczonych przez Klienta zgodnie z § 5.</w:t>
      </w:r>
    </w:p>
    <w:p>
      <w:pPr>
        <w:spacing w:after="60"/>
        <w:ind w:left="283"/>
        <w:jc w:val="both"/>
      </w:pPr>
      <w:r>
        <w:rPr>
          <w:rFonts w:ascii="Cambria" w:hAnsi="Cambria"/>
          <w:b/>
          <w:sz w:val="20"/>
        </w:rPr>
        <w:t xml:space="preserve">&lt;&lt;Model Spersonalizowany&gt;&gt; - </w:t>
      </w:r>
      <w:r>
        <w:rPr>
          <w:rFonts w:ascii="Cambria" w:hAnsi="Cambria"/>
          <w:sz w:val="20"/>
        </w:rPr>
        <w:t>Model językowy będący wynikiem procesu Fine-Tuning, zawierający wiedzę domenową wynikającą z danych historycznych Klienta.</w:t>
      </w:r>
    </w:p>
    <w:p>
      <w:pPr>
        <w:spacing w:after="60"/>
        <w:ind w:left="283"/>
        <w:jc w:val="both"/>
      </w:pPr>
      <w:r>
        <w:rPr>
          <w:rFonts w:ascii="Cambria" w:hAnsi="Cambria"/>
          <w:b/>
          <w:sz w:val="20"/>
        </w:rPr>
        <w:t xml:space="preserve">&lt;&lt;Dane Treningowe&gt;&gt; - </w:t>
      </w:r>
      <w:r>
        <w:rPr>
          <w:rFonts w:ascii="Cambria" w:hAnsi="Cambria"/>
          <w:sz w:val="20"/>
        </w:rPr>
        <w:t>Dane dostarczone przez Klienta do procesu Fine-Tuning, w szczególności: historia przetargów z wynikami, kosztorysy, oferty, dokumentacja SWZ, dane o wykonawcach i zamawiających.</w:t>
      </w:r>
    </w:p>
    <w:p>
      <w:pPr>
        <w:spacing w:after="60"/>
        <w:ind w:left="283"/>
        <w:jc w:val="both"/>
      </w:pPr>
      <w:r>
        <w:rPr>
          <w:rFonts w:ascii="Cambria" w:hAnsi="Cambria"/>
          <w:b/>
          <w:sz w:val="20"/>
        </w:rPr>
        <w:t xml:space="preserve">&lt;&lt;Audit Trail&gt;&gt; - </w:t>
      </w:r>
      <w:r>
        <w:rPr>
          <w:rFonts w:ascii="Cambria" w:hAnsi="Cambria"/>
          <w:sz w:val="20"/>
        </w:rPr>
        <w:t>Kompletny, niezapisywalny dziennik zdarzeń systemowych, umożliwiający odtworzenie każdej operacji na danych, zgodnie z wymogami NIS2 i RODO.</w:t>
      </w:r>
    </w:p>
    <w:p>
      <w:pPr>
        <w:spacing w:after="60"/>
        <w:ind w:left="283"/>
        <w:jc w:val="both"/>
      </w:pPr>
      <w:r>
        <w:rPr>
          <w:rFonts w:ascii="Cambria" w:hAnsi="Cambria"/>
          <w:b/>
          <w:sz w:val="20"/>
        </w:rPr>
        <w:t xml:space="preserve">&lt;&lt;SLA&gt;&gt; - </w:t>
      </w:r>
      <w:r>
        <w:rPr>
          <w:rFonts w:ascii="Cambria" w:hAnsi="Cambria"/>
          <w:sz w:val="20"/>
        </w:rPr>
        <w:t>Umowa dotycząca poziomu świadczenia usług wsparcia technicznego - Załącznik nr 2.</w:t>
      </w:r>
    </w:p>
    <w:p>
      <w:pPr>
        <w:spacing w:after="60"/>
        <w:ind w:left="283"/>
        <w:jc w:val="both"/>
      </w:pPr>
      <w:r>
        <w:rPr>
          <w:rFonts w:ascii="Cambria" w:hAnsi="Cambria"/>
          <w:b/>
          <w:sz w:val="20"/>
        </w:rPr>
        <w:t xml:space="preserve">&lt;&lt;Dokumentacja Techniczna&gt;&gt; - </w:t>
      </w:r>
      <w:r>
        <w:rPr>
          <w:rFonts w:ascii="Cambria" w:hAnsi="Cambria"/>
          <w:sz w:val="20"/>
        </w:rPr>
        <w:t>Komplet dokumentów opisujących architekturę, konfigurację i procedury obsługi Systemu Yu-NA.</w:t>
      </w:r>
    </w:p>
    <w:p>
      <w:pPr>
        <w:spacing w:after="60"/>
        <w:ind w:left="283"/>
        <w:jc w:val="both"/>
      </w:pPr>
      <w:r>
        <w:rPr>
          <w:rFonts w:ascii="Cambria" w:hAnsi="Cambria"/>
          <w:b/>
          <w:sz w:val="20"/>
        </w:rPr>
        <w:t xml:space="preserve">&lt;&lt;RODO&gt;&gt; - </w:t>
      </w:r>
      <w:r>
        <w:rPr>
          <w:rFonts w:ascii="Cambria" w:hAnsi="Cambria"/>
          <w:sz w:val="20"/>
        </w:rPr>
        <w:t>Rozporządzenie (UE) 2016/679.</w:t>
      </w:r>
    </w:p>
    <w:p>
      <w:pPr>
        <w:spacing w:after="60"/>
        <w:ind w:left="283"/>
        <w:jc w:val="both"/>
      </w:pPr>
      <w:r>
        <w:rPr>
          <w:rFonts w:ascii="Cambria" w:hAnsi="Cambria"/>
          <w:b/>
          <w:sz w:val="20"/>
        </w:rPr>
        <w:t xml:space="preserve">&lt;&lt;NIS2&gt;&gt; - </w:t>
      </w:r>
      <w:r>
        <w:rPr>
          <w:rFonts w:ascii="Cambria" w:hAnsi="Cambria"/>
          <w:sz w:val="20"/>
        </w:rPr>
        <w:t>Dyrektywa (UE) 2022/2555 implementowana ustawą o KSC.</w:t>
      </w:r>
    </w:p>
    <w:p>
      <w:pPr>
        <w:spacing w:after="60"/>
        <w:ind w:left="283"/>
        <w:jc w:val="both"/>
      </w:pPr>
      <w:r>
        <w:rPr>
          <w:rFonts w:ascii="Cambria" w:hAnsi="Cambria"/>
          <w:b/>
          <w:sz w:val="20"/>
        </w:rPr>
        <w:t xml:space="preserve">&lt;&lt;AI Act&gt;&gt; - </w:t>
      </w:r>
      <w:r>
        <w:rPr>
          <w:rFonts w:ascii="Cambria" w:hAnsi="Cambria"/>
          <w:sz w:val="20"/>
        </w:rPr>
        <w:t>Rozporządzenie (UE) 2024/1689.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2. PRZEDMIOT UMOWY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Na podstawie niniejszej Umowy QA10 zobowiązuje się do kompleksowego Wdrożenia On-Premise Systemu Yu-NA Intelligence na infrastrukturze Klienta, obejmującego: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Instalację i konfigurację pełnego stosu Terra.OS (backend FastAPI, baza danych PostgreSQL 16 z RLS, frontend Next.js, modele embeddings, vLLM/Ollama).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Przeprowadzenie Fine-Tuning modelu językowego na Danych Treningowych Klienta.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Integrację z wewnętrznymi systemami Klienta (ERP/CRM) - zakres określony w Załączniku nr 1.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Konfigurację audit trail zgodnego z NIS2 i RODO.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Szkolenie wskazanych pracowników Klienta (min. 1 dzień administratorski + 1 dzień użytkownikowy).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Przekazanie Dokumentacji Technicznej.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Wsparcie powdrożeniowe przez okres wskazany w SLA (Załącznik nr 2).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Szczegółowy zakres wdrożenia, harmonogram i specyfikacja techniczna zawarte są w Załączniku nr 1 - Specyfikacja Wdrożenia.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Klient przyjmuje do wiadomości, że System Yu-NA jest dostarczany w konfiguracji on-premise - QA10 nie przechowuje żadnych danych Klienta na swoich serwerach ani nie ma do nich zdalnego dostępu po zakończeniu wdrożenia, o ile Klient nie udzieli odrębnej, pisemnej zgody na dostęp serwisowy.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3. WYNAGRODZENIE I WARUNKI PŁATNOŚCI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Strony ustalają wynagrodzenie za realizację niniejszej Umowy w następującej strukturze: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Składnik wynagrodzenia</w:t>
            </w:r>
          </w:p>
        </w:tc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Kwota netto (PLN)</w:t>
            </w:r>
          </w:p>
        </w:tc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Termin płatności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8"/>
              </w:rPr>
              <w:t>Opłata za Wdrożenie (Setup Fee)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8"/>
              </w:rPr>
              <w:t>_____________, 00 PLN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8"/>
              </w:rPr>
              <w:t>50% przy podpisaniu / 50% przy odbiorze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8"/>
              </w:rPr>
              <w:t>Fine-Tuning modelu AI (jednorazowy)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8"/>
              </w:rPr>
              <w:t>_____________, 00 PLN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8"/>
              </w:rPr>
              <w:t>Po dostarczeniu Danych Treningowych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8"/>
              </w:rPr>
              <w:t>Roczna opłata serwisowa (SLA + aktualizacje)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8"/>
              </w:rPr>
              <w:t>_____________, 00 PLN / rok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8"/>
              </w:rPr>
              <w:t>Z góry, co 12 miesięcy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8"/>
              </w:rPr>
              <w:t>Cykliczny re-tuning modelu (opcjonalny, co 12 mies.)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8"/>
              </w:rPr>
              <w:t>_____________, 00 PLN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8"/>
              </w:rPr>
              <w:t>Na podstawie odrębnego zamówienia</w:t>
            </w:r>
          </w:p>
        </w:tc>
      </w:tr>
    </w:tbl>
    <w:p/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Ceny netto powiększone są o podatek VAT wg stawki obowiązującej w dniu wystawienia faktury.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Termin płatności faktur: 14 dni od daty wystawienia. W przypadku opóźnienia QA10 uprawnione jest do naliczania odsetek handlowych (13,75% p.a. na podstawie stopy NBP 3,75% + 10 pp.) oraz rekompensaty kosztów odzyskiwania należności zgodnie z ustawą z 8 marca 2013 r. [TARCZA BFA-SHC-02].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4. Wynagrodzenie podlega corocznej waloryzacji wskaźnikiem CPI GUS w stosunku do roku poprzedniego, począwszy od drugiego roku serwisu [TARCZA BFA-SHC-06].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4. HARMONOGRAM WDROŻENIA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Wdrożenie realizowane jest w następujących etapach: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Etap</w:t>
            </w:r>
          </w:p>
        </w:tc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Czas trwania</w:t>
            </w:r>
          </w:p>
        </w:tc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Zakres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Etap 0 - Kick-off i Audyt Infrastruktury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3 dni robocze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Ocena infrastruktury Klienta, przygotowanie planu migracji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Etap 1 - Instalacja systemu bazowego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5 dni roboczych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Instalacja Terra.OS, konfiguracja bazy, konfiguracja RLS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Etap 2 - Fine-Tuning AI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7–14 dni roboczych od dostarczenia Danych Treningowych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Trenowanie modelu, walidacja jakości, testy akceptacyjne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Etap 3 - Integracje zewnętrzne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3–5 dni roboczych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Połączenie z systemami ERP/CRM Klienta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Etap 4 - Szkolenie i odbiór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2 dni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Szkolenie użytkowników, podpisanie protokołu odbioru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Etap 5 - Hypercare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30 dni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Wsparcie intensywne po wdrożeniu, SLA gwarantowane</w:t>
            </w:r>
          </w:p>
        </w:tc>
      </w:tr>
    </w:tbl>
    <w:p/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Terminy etapów liczone są od dnia przekazania przez Klienta wszelkich materiałów niezbędnych do danego etapu (§ 7). Opóźnienie po stronie Klienta nie obciąża QA10 i przesuwa terminy proporcjonalnie.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5. DANE TRENINGOWE - FINE-TUNING AI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Klient dostarcza Dane Treningowe do Fine-Tuning w formacie i ilości określonych w Załączniku nr 1. Minimalne wymagania dla zapewnienia jakości modelu: co najmniej 500 zakończonych przetargów z wynikami (wygrany/przegrany) wraz z towarzyszącą dokumentacją SWZ.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Klient oświadcza, że: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Posiada pełne prawo do dysponowania Danymi Treningowymi, w tym do udostępnienia ich QA10 w celu Fine-Tuning.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Dane Treningowe zawierające dane osobowe przetwarzane są przez Klienta na podstawie ważnej podstawy prawnej (art. 6 RODO), a ich udostępnienie QA10 następuje na podstawie niniejszej Umowy jako umowy powierzenia.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Dane Treningowe nie zawierają danych szczególnych kategorii (art. 9 RODO) chyba że Klient wyraził na to odrębną, pisemną zgodę.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Dane Treningowe nie zawierają informacji objętych tajemnicą prawnie chronioną (tajemnica przedsiębiorcy, tajemnica zawodowa) w stopniu uniemożliwiającym ich przetwarzanie w celu Fine-Tuning.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QA10 przetwarza Dane Treningowe wyłącznie w celu przeprowadzenia Fine-Tuning. Po zakończeniu Fine-Tuning i odbiorze Modelu Spersonalizowanego QA10 trwale usuwa Dane Treningowe ze swoich systemów i potwierdza to Klientowi na piśmie.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4. Fine-Tuning wykonywany jest przez QA10 na własnej infrastrukturze (lub cloud compute) z zachowaniem pełnych środków bezpieczeństwa. Dane Treningowe nie są udostępniane podmiotom trzecim, z wyjątkiem dostawców infrastruktury obliczeniowej działających jako sub-procesorzy na podstawie SCC.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6. WŁASNOŚĆ INTELEKTUALNA MODELU SPERSONALIZOWANEGO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Bazowy model językowy, architektura systemu Terra.OS, kod źródłowy oraz wszelkie materiały wytworzone przez QA10 niezależnie od niniejszej Umowy pozostają wyłączną własnością QA10 sp. z o.o. i są objęte ochroną prawa autorskiego.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Model Spersonalizowany (wagi fine-tunowane metodą LoRA lub pełną) przekazywany Klientowi stanowi: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W zakresie wag bazowych (pre-trained) - licencję niewyłączną na korzystanie przez Klienta, na czas nieokreślony, do własnych celów biznesowych [licencja na podstawie art. 67 Pr.Aut.].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W zakresie wag domenowych (LoRA adapter) - utwór współautorski Klienta (na podstawie dostarczonych Danych Treningowych) i QA10 (na podstawie wiedzy modelarskiej i infrastruktury). Prawa majątkowe do adapteru przysługują Klientowi w 60% i QA10 w 40%.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Klient nie jest uprawniony do: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Udostępniania Modelu Spersonalizowanego osobom trzecim (w całości ani w części) bez pisemnej zgody QA10.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Przeprowadzania reverse engineering modelu bazowego w celu odtworzenia architektury lub wiedzy wytrenowanej przez QA10.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Komercyjnego wykorzystania Modelu Spersonalizowanego jako odrębnego produktu poza własną organizacją.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4. W przypadku wypowiedzenia Umowy Klient zachowuje prawo do dalszego korzystania z Modelu Spersonalizowanego na własnej infrastrukturze, jednak traci prawo do aktualizacji, wsparcia i re-tuningu modelu.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7. OBOWIĄZKI KLIENTA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Klient zobowiązuje się do: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Zapewnienia infrastruktury serwerowej spełniającej minimalne wymagania techniczne określone w Załączniku nr 1 (m.in.: serwer z GPU NVIDIA min. 24GB VRAM dla modeli 13B+, min. 64GB RAM, SSD NVMe min. 500GB).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Wyznaczenia koordynatora projektu po stronie Klienta, odpowiedzialnego za komunikację z zespołem QA10 i terminowe dostarczanie materiałów.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Dostarczenia Danych Treningowych w terminie określonym w harmonogramie (Etap 2).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Zapewnienia dostępu VPN lub SSH do infrastruktury na czas wdrożenia, z odwołaniem dostępu po zakończeniu Etapu 4.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Niezwłocznego informowania QA10 o wszelkich incydentach bezpieczeństwa dotyczących Systemu.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Zawarcia odrębnej Umowy Powierzenia Przetwarzania Danych (DPA) - Załącznik nr 3 - przed przekazaniem Danych Treningowych.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Nieudostępniania credentials dostępowych do Systemu osobom spoza organizacji.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Prowadzenia własnych kopii zapasowych danych Systemu (QA10 dostarcza skrypty backup, ale odpowiedzialność za wykonywanie kopii leży po stronie Klienta).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8. ZGODNOŚĆ Z RODO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System Yu-NA w konfiguracji On-Premise przetwarza dane wyłącznie na infrastrukturze Klienta. Klient jest Administratorem danych osobowych przetwarzanych w Systemie.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QA10 dostarcza wraz z Systemem: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Kompletny audit trail wszystkich operacji na danych osobowych (endpoint GET /api/v2/gdpr/audit-trail).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Mechanizm prawa do usunięcia i anonimizacji danych (endpoint DELETE /api/v2/gdpr/account).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Mechanizm eksportu danych (endpoint GET /api/v2/gdpr/export - JSON/CSV).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Mechanizm zarządzania zgodami (consent management, CookieBanner, endpoint POST /api/v2/gdpr/consent).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Granularną kontrolę dostępu opartą o role (RBAC) i Row Level Security (PostgreSQL RLS).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Szyfrowanie danych w transmisji (TLS 1.3) i zalecenia konfiguracji szyfrowania w spoczynku.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Klient jako Administrator jest odpowiedzialny za: (a) posiadanie ważnej podstawy prawnej dla każdego celu przetwarzania, (b) sporządzenie Rejestru Czynności Przetwarzania (RoPA) uwzględniającego System Yu-NA, (c) przeprowadzenie DPIA (Oceny Skutków dla Ochrony Danych) dla funkcji AI wysokiego ryzyka przed uruchomieniem produkcyjnym, (d) poinformowanie osób, których dane dotyczą, o korzystaniu z systemu AI (przejrzystość AI Act art. 50).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4. W zakresie Fine-Tuning (Etap 2) Klient powierza QA10 przetwarzanie Danych Treningowych zawierających dane osobowe na podstawie Załącznika nr 3 - DPA Fine-Tuning.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9. ZGODNOŚĆ Z NIS2 / KSC - AUDIT TRAIL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System Yu-NA dostarcza audit trail zgodny z wymogami Dyrektywy NIS2 (implementowanej przez ustawę o KSC) w zakresie: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Niemodyfikowalnego dziennika zdarzeń systemowych (append-only log) - każda operacja zapisu, odczytu i zmiany danych rejestrowana ze znacznikiem czasowym, identyfikatorem użytkownika i adresem IP.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Logowania prób nieautoryzowanego dostępu i zdarzeń bezpieczeństwa.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Retencji dziennika zdarzeń przez minimum 12 miesięcy (konfigurowalnie do 36 miesięcy).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Eksportu dziennika do formatów JSON/CSV do użytku w procesach audytowych.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Integracji z zewnętrznymi systemami SIEM (Splunk, ELK, Grafana Loki) przez webhook - opcjonalnie.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Klient jest odpowiedzialny za zgłoszenie incydentów bezpieczeństwa do właściwego CSIRT (CERT Polska) zgodnie z wymaganiami KSC, z wykorzystaniem informacji z audit trail systemu.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QA10 dostarcza Dokumentację Techniczną opisującą środki bezpieczeństwa Systemu, umożliwiając Klientowi włączenie Systemu do własnego systemu zarządzania bezpieczeństwem informacji (ISMS/ISO 27001).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10. ZGODNOŚĆ Z AI ACT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System scoringu Yu-NA (win probability, scoring przetargów) klasyfikowany jest jako system AI wysokiego ryzyka w rozumieniu Załącznika III Rozporządzenia (UE) 2024/1689 (AI Act) w zakresie jego zastosowania do wspomagania decyzji biznesowych.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QA10 jako dostawca (provider) systemu AI zobowiązuje się dostarczyć: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Dokumentację techniczną modelu (art. 11 AI Act): architektura, dane treningowe, metryki jakości, ograniczenia.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Instrukcję użycia systemu AI dla operatora (art. 13 AI Act): przejrzyste wyjaśnienie działania, ograniczeń i warunków prawidłowego użycia.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Mechanizm ludzkiego nadzoru (art. 14 AI Act): System prezentuje rekomendacje jako wspomagające, nie zastępujące decyzje ludzkie; Klient konfiguruje progi alertów wymagających ręcznej weryfikacji.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Informację o zastosowaniu danych syntetycznych/wzorcowych w przypadku niewystarczającej ilości danych historycznych.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Mechanizm logowania decyzji AI (wyjaśnialność) - endpoint /api/v2/intelligence/explain.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Klient jako operator (deployer) systemu AI zobowiązuje się do: (a) informowania osób, których decyzje dotyczą (np. zamawiający, podwykonawcy), o korzystaniu z systemu AI - jeśli tego wymagają przepisy, (b) niestosowania systemu AI do celów wykraczających poza zakres wskazany w Dokumentacji, (c) zapewnienia procedury odwołania od decyzji podjętych z wykorzystaniem rekomendacji AI.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11. POUFNOŚĆ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Każda ze Stron zobowiązuje się zachować w ściśle tajemnicy wszelkie Informacje Poufne uzyskane w związku z niniejszą Umową [TARCZA BFA-SHC-04].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Informacje Poufne obejmują w szczególności: dane treningowe, know-how technologiczne QA10, architekturę Systemu, dane biznesowe Klienta, warunki finansowe Umowy.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Zobowiązanie poufności obowiązuje przez 5 lat od zakończenia Umowy. Za naruszenie zobowiązania poufności Strona ponosi karę umowną w wysokości _______________,00 PLN za każde naruszenie [TARCZA BFA-SHC-02].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12. ODPOWIEDZIALNOŚĆ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Całkowita odpowiedzialność QA10 z tytułu niewykonania lub nienależytego wykonania Umowy ograniczona jest do wartości wynagrodzenia netto zapłaconego przez Klienta za ostatnie 12 miesięcy obowiązywania Umowy [TARCZA BFA-SHC-01].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QA10 nie ponosi odpowiedzialności za: (a) straty wynikające z decyzji biznesowych podjętych na podstawie rekomendacji AI Systemu, (b) niedostępność zewnętrznych baz danych (BZP, TED) wpływającą na aktualność danych przetargowych, (c) naruszenia bezpieczeństwa wynikające z nieprawidłowej konfiguracji infrastruktury Klienta.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Ograniczenie odpowiedzialności nie dotyczy szkód wyrządzonych umyślnie oraz naruszenia zobowiązań dotyczących Danych Treningowych (§ 5) i poufności (§ 11).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13. ROZWIĄZANIE UMOWY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Umowa zawarta jest na czas nieokreślony, z prawem wypowiedzenia przez każdą ze Stron z zachowaniem 3-miesięcznego okresu wypowiedzenia ze skutkiem na koniec kwartału [TARCZA BFA-SHC-07].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Prawo do wypowiedzenia ze skutkiem natychmiastowym przysługuje każdej ze Stron w przypadku istotnego naruszenia Umowy przez drugą Stronę, po bezskutecznym upływie 14-dniowego terminu na usunięcie naruszenia.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Po rozwiązaniu Umowy Klient zachowuje prawo do korzystania z zainstalowanego Systemu i Modelu Spersonalizowanego na własnej infrastrukturze, jednak traci prawo do aktualizacji, wsparcia technicznego i re-tuningu.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14. SIŁA WYŻSZA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Strony wyłączają odpowiedzialność za opóźnienia spowodowane siłą wyższą. Strona dotknięta powiadamia drugą Stronę w ciągu 3 dni. Jeżeli siła wyższa trwa dłużej niż 60 dni, każda ze Stron może wypowiedzieć Umowę ze skutkiem na koniec następnego miesiąca [TARCZA BFA-SHC-03].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15. POSTANOWIENIA KOŃCOWE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Prawem właściwym dla Umowy jest prawo polskie. Wszelkie spory rozstrzyga Sąd właściwy dla siedziby QA10 sp. z o.o. w Katowicach, po wyczerpaniu procedury mediacyjnej (30 dni od zgłoszenia sporu) [TARCZA BFA-SHC-05].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Zmiany Umowy wymagają formy pisemnej pod rygorem nieważności.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Klauzula salwatoryjna: nieważność poszczególnych postanowień nie wpływa na ważność pozostałych.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4. Załączniki stanowią integralną część Umowy:</w:t>
        <w:br/>
        <w:t xml:space="preserve">  • Załącznik nr 1 - Specyfikacja Wdrożenia i Harmonogram</w:t>
        <w:br/>
        <w:t xml:space="preserve">  • Załącznik nr 2 - SLA (Service Level Agreement)</w:t>
        <w:br/>
        <w:t xml:space="preserve">  • Załącznik nr 3 - DPA Fine-Tuning</w:t>
        <w:br/>
        <w:t xml:space="preserve">  • Załącznik nr 4 - Dokumentacja Techniczna (przekazywana przy odbiorze)</w:t>
      </w:r>
    </w:p>
    <w:p>
      <w:r>
        <w:br w:type="page"/>
      </w:r>
    </w:p>
    <w:p/>
    <w:p>
      <w:pPr>
        <w:spacing w:after="80"/>
        <w:jc w:val="both"/>
      </w:pPr>
      <w:r>
        <w:rPr>
          <w:rFonts w:ascii="Cambria" w:hAnsi="Cambria"/>
          <w:b/>
          <w:i w:val="0"/>
          <w:color w:val="0A0A0F"/>
          <w:sz w:val="20"/>
        </w:rPr>
        <w:t>PODPISY STRON</w:t>
      </w:r>
    </w:p>
    <w:p>
      <w:pPr>
        <w:pBdr>
          <w:bottom w:val="single" w:sz="4" w:space="1" w:color="666666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Usługodawca (QA10 sp. z o.o.)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Klient</w:t>
            </w:r>
          </w:p>
        </w:tc>
      </w:tr>
      <w:tr>
        <w:tc>
          <w:tcPr>
            <w:tcW w:type="dxa" w:w="4561"/>
          </w:tcPr>
          <w:p>
            <w:r>
              <w:rPr>
                <w:rFonts w:ascii="Cambria" w:hAnsi="Cambria"/>
                <w:b/>
                <w:sz w:val="18"/>
              </w:rPr>
              <w:t>QA10 sp. z o.o.</w:t>
            </w:r>
          </w:p>
        </w:tc>
        <w:tc>
          <w:tcPr>
            <w:tcW w:type="dxa" w:w="4561"/>
          </w:tcPr>
          <w:p>
            <w:r>
              <w:rPr>
                <w:rFonts w:ascii="Cambria" w:hAnsi="Cambria"/>
                <w:b w:val="0"/>
                <w:sz w:val="18"/>
              </w:rPr>
              <w:t>_______________________________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rFonts w:ascii="Cambria" w:hAnsi="Cambria"/>
                <w:b w:val="0"/>
                <w:sz w:val="18"/>
              </w:rPr>
              <w:t>ul. Mariacka 37, 40-014 Katowice</w:t>
            </w:r>
          </w:p>
        </w:tc>
        <w:tc>
          <w:tcPr>
            <w:tcW w:type="dxa" w:w="4561"/>
          </w:tcPr>
          <w:p>
            <w:r>
              <w:rPr>
                <w:rFonts w:ascii="Cambria" w:hAnsi="Cambria"/>
                <w:b w:val="0"/>
                <w:sz w:val="18"/>
              </w:rPr>
              <w:t>(firma / imię i nazwisko)</w:t>
            </w:r>
          </w:p>
        </w:tc>
      </w:tr>
      <w:tr>
        <w:tc>
          <w:tcPr>
            <w:tcW w:type="dxa" w:w="4561"/>
          </w:tcPr>
          <w:p>
            <w:r>
              <w:rPr>
                <w:rFonts w:ascii="Cambria" w:hAnsi="Cambria"/>
                <w:b w:val="0"/>
                <w:sz w:val="18"/>
              </w:rPr>
              <w:br/>
              <w:br/>
              <w:t>_____________________</w:t>
              <w:br/>
              <w:t>Data i podpis</w:t>
            </w:r>
          </w:p>
        </w:tc>
        <w:tc>
          <w:tcPr>
            <w:tcW w:type="dxa" w:w="4561"/>
          </w:tcPr>
          <w:p>
            <w:r>
              <w:rPr>
                <w:rFonts w:ascii="Cambria" w:hAnsi="Cambria"/>
                <w:b w:val="0"/>
                <w:sz w:val="18"/>
              </w:rPr>
              <w:br/>
              <w:br/>
              <w:t>_____________________</w:t>
              <w:br/>
              <w:t>Data i podpis</w:t>
            </w:r>
          </w:p>
        </w:tc>
      </w:tr>
    </w:tbl>
    <w:p/>
    <w:p>
      <w:pPr>
        <w:spacing w:after="80"/>
        <w:jc w:val="both"/>
      </w:pPr>
      <w:r>
        <w:rPr>
          <w:rFonts w:ascii="Cambria" w:hAnsi="Cambria"/>
          <w:b w:val="0"/>
          <w:i/>
          <w:color w:val="0A0A0F"/>
          <w:sz w:val="20"/>
        </w:rPr>
        <w:t>Katowice, dnia _________________ 20___ r.</w:t>
      </w:r>
    </w:p>
    <w:p>
      <w:pPr>
        <w:pBdr>
          <w:bottom w:val="single" w:sz="4" w:space="1" w:color="666666"/>
        </w:pBdr>
        <w:spacing w:before="120" w:after="120"/>
      </w:pPr>
    </w:p>
    <w:p>
      <w:pPr>
        <w:spacing w:after="80"/>
        <w:jc w:val="both"/>
      </w:pPr>
      <w:r>
        <w:rPr>
          <w:rFonts w:ascii="Cambria" w:hAnsi="Cambria"/>
          <w:b w:val="0"/>
          <w:i/>
          <w:color w:val="0A0A0F"/>
          <w:sz w:val="20"/>
        </w:rPr>
        <w:t>Dokument wygenerowany: 15.07.2026 | QA10 sp. z o.o. | KRS: 0001232199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color w:val="0A0A0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