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A4DFB" w:rsidRPr="00A54558" w:rsidRDefault="008A4DFB" w:rsidP="008A4DFB">
      <w:pPr>
        <w:pStyle w:val="Title"/>
        <w:jc w:val="center"/>
        <w:rPr>
          <w:rFonts w:cstheme="majorHAnsi"/>
          <w:sz w:val="44"/>
        </w:rPr>
      </w:pPr>
      <w:r w:rsidRPr="00A54558">
        <w:rPr>
          <w:rFonts w:cstheme="majorHAnsi"/>
          <w:b/>
          <w:sz w:val="44"/>
        </w:rPr>
        <w:t>Annexure III – Section 2: Project Proposal</w:t>
      </w:r>
    </w:p>
    <w:p w:rsidR="008A4DFB" w:rsidRPr="008A4DFB" w:rsidRDefault="008A4DFB" w:rsidP="008A4DFB">
      <w:pPr>
        <w:jc w:val="center"/>
        <w:rPr>
          <w:rFonts w:asciiTheme="majorHAnsi" w:hAnsiTheme="majorHAnsi" w:cstheme="majorHAnsi"/>
          <w:sz w:val="24"/>
        </w:rPr>
      </w:pPr>
      <w:r w:rsidRPr="008A4DFB">
        <w:rPr>
          <w:rFonts w:asciiTheme="majorHAnsi" w:hAnsiTheme="majorHAnsi" w:cstheme="majorHAnsi"/>
          <w:sz w:val="24"/>
        </w:rPr>
        <w:t>Paste-ready answers with professional structure and word-count compliance</w:t>
      </w:r>
    </w:p>
    <w:p w:rsidR="008A4DFB" w:rsidRPr="008A4DFB" w:rsidRDefault="008A4DFB" w:rsidP="008A4DFB">
      <w:pPr>
        <w:rPr>
          <w:rFonts w:asciiTheme="majorHAnsi" w:hAnsiTheme="majorHAnsi" w:cstheme="majorHAnsi"/>
          <w:sz w:val="24"/>
        </w:rPr>
      </w:pPr>
    </w:p>
    <w:p w:rsidR="008A4DFB" w:rsidRPr="008A4DFB" w:rsidRDefault="008A4DFB" w:rsidP="008A4DFB">
      <w:pPr>
        <w:pStyle w:val="Heading2"/>
        <w:rPr>
          <w:rFonts w:cstheme="majorHAnsi"/>
          <w:sz w:val="28"/>
        </w:rPr>
      </w:pPr>
      <w:r w:rsidRPr="008A4DFB">
        <w:rPr>
          <w:rFonts w:cstheme="majorHAnsi"/>
          <w:sz w:val="28"/>
        </w:rPr>
        <w:t>Q1. Title of the Solution</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Tri-Lingual Voice-to-EHR, Early Warning, and Safe Hypertension Guidance System for AHMIS (Problem Statement 3)</w:t>
      </w:r>
    </w:p>
    <w:p w:rsidR="008A4DFB" w:rsidRPr="008A4DFB" w:rsidRDefault="008A4DFB" w:rsidP="008A4DFB">
      <w:pPr>
        <w:pStyle w:val="Heading2"/>
        <w:rPr>
          <w:rFonts w:cstheme="majorHAnsi"/>
          <w:sz w:val="28"/>
        </w:rPr>
      </w:pPr>
      <w:r w:rsidRPr="008A4DFB">
        <w:rPr>
          <w:rFonts w:cstheme="majorHAnsi"/>
          <w:sz w:val="28"/>
        </w:rPr>
        <w:t>Q2. Which Ministry is the Solution For?</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Ministry of AYUSH</w:t>
      </w:r>
    </w:p>
    <w:p w:rsidR="008A4DFB" w:rsidRPr="008A4DFB" w:rsidRDefault="008A4DFB" w:rsidP="008A4DFB">
      <w:pPr>
        <w:pStyle w:val="Heading2"/>
        <w:rPr>
          <w:rFonts w:cstheme="majorHAnsi"/>
          <w:sz w:val="28"/>
        </w:rPr>
      </w:pPr>
      <w:r w:rsidRPr="008A4DFB">
        <w:rPr>
          <w:rFonts w:cstheme="majorHAnsi"/>
          <w:sz w:val="28"/>
        </w:rPr>
        <w:t>Q3. Problem Statement Addressed (Choose from Annexure I)</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Problem Statement 3: AI-enabled Integrated Early Warning, Treatment and Lifestyle Recommendation System</w:t>
      </w:r>
    </w:p>
    <w:p w:rsidR="008A4DFB" w:rsidRPr="008A4DFB" w:rsidRDefault="008A4DFB" w:rsidP="008A4DFB">
      <w:pPr>
        <w:pStyle w:val="Heading2"/>
        <w:rPr>
          <w:rFonts w:cstheme="majorHAnsi"/>
          <w:sz w:val="28"/>
        </w:rPr>
      </w:pPr>
      <w:r w:rsidRPr="008A4DFB">
        <w:rPr>
          <w:rFonts w:cstheme="majorHAnsi"/>
          <w:sz w:val="28"/>
        </w:rPr>
        <w:t>Q3 (continued). Proprietary Model</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We do not claim a fully proprietary foundation model. The innovation is a governed AHMIS-ready workflow that combines</w:t>
      </w:r>
      <w:proofErr w:type="gramStart"/>
      <w:r w:rsidRPr="008A4DFB">
        <w:rPr>
          <w:rFonts w:asciiTheme="majorHAnsi" w:hAnsiTheme="majorHAnsi" w:cstheme="majorHAnsi"/>
          <w:sz w:val="24"/>
        </w:rPr>
        <w:t>:</w:t>
      </w:r>
      <w:proofErr w:type="gramEnd"/>
      <w:r w:rsidRPr="008A4DFB">
        <w:rPr>
          <w:rFonts w:asciiTheme="majorHAnsi" w:hAnsiTheme="majorHAnsi" w:cstheme="majorHAnsi"/>
          <w:sz w:val="24"/>
        </w:rPr>
        <w:br/>
        <w:t xml:space="preserve">1) Government language stack via BHASHINI for Indian-language speech and translation. </w:t>
      </w:r>
      <w:proofErr w:type="spellStart"/>
      <w:r w:rsidRPr="008A4DFB">
        <w:rPr>
          <w:rFonts w:asciiTheme="majorHAnsi" w:hAnsiTheme="majorHAnsi" w:cstheme="majorHAnsi"/>
          <w:sz w:val="24"/>
        </w:rPr>
        <w:t>Sarvam</w:t>
      </w:r>
      <w:proofErr w:type="spellEnd"/>
      <w:r w:rsidRPr="008A4DFB">
        <w:rPr>
          <w:rFonts w:asciiTheme="majorHAnsi" w:hAnsiTheme="majorHAnsi" w:cstheme="majorHAnsi"/>
          <w:sz w:val="24"/>
        </w:rPr>
        <w:t xml:space="preserve"> is used only for benchmarking or </w:t>
      </w:r>
      <w:proofErr w:type="spellStart"/>
      <w:r w:rsidRPr="008A4DFB">
        <w:rPr>
          <w:rFonts w:asciiTheme="majorHAnsi" w:hAnsiTheme="majorHAnsi" w:cstheme="majorHAnsi"/>
          <w:sz w:val="24"/>
        </w:rPr>
        <w:t>fallback</w:t>
      </w:r>
      <w:proofErr w:type="spellEnd"/>
      <w:r w:rsidRPr="008A4DFB">
        <w:rPr>
          <w:rFonts w:asciiTheme="majorHAnsi" w:hAnsiTheme="majorHAnsi" w:cstheme="majorHAnsi"/>
          <w:sz w:val="24"/>
        </w:rPr>
        <w:t xml:space="preserve"> where permitted.</w:t>
      </w:r>
      <w:r w:rsidRPr="008A4DFB">
        <w:rPr>
          <w:rFonts w:asciiTheme="majorHAnsi" w:hAnsiTheme="majorHAnsi" w:cstheme="majorHAnsi"/>
          <w:sz w:val="24"/>
        </w:rPr>
        <w:br/>
        <w:t>2) Open-source speech, NLP, and ML components for structured extraction, early-warning analytics, and recommendation orchestration.</w:t>
      </w:r>
      <w:r w:rsidRPr="008A4DFB">
        <w:rPr>
          <w:rFonts w:asciiTheme="majorHAnsi" w:hAnsiTheme="majorHAnsi" w:cstheme="majorHAnsi"/>
          <w:sz w:val="24"/>
        </w:rPr>
        <w:br/>
        <w:t>3) System layers engineered by our team: AHMIS-aligned EHR field mapping, clinician confirmation workflow, append-only audit logging, safety policy gates, Clinician Trust Layer, evaluation pack and benchmarking automation, and configuration packs for languages and diseases.</w:t>
      </w:r>
      <w:r w:rsidRPr="008A4DFB">
        <w:rPr>
          <w:rFonts w:asciiTheme="majorHAnsi" w:hAnsiTheme="majorHAnsi" w:cstheme="majorHAnsi"/>
          <w:sz w:val="24"/>
        </w:rPr>
        <w:br/>
        <w:t xml:space="preserve">All third-party components and licenses are captured in a </w:t>
      </w:r>
      <w:proofErr w:type="spellStart"/>
      <w:r w:rsidRPr="008A4DFB">
        <w:rPr>
          <w:rFonts w:asciiTheme="majorHAnsi" w:hAnsiTheme="majorHAnsi" w:cstheme="majorHAnsi"/>
          <w:sz w:val="24"/>
        </w:rPr>
        <w:t>ThirdPartyRegister</w:t>
      </w:r>
      <w:proofErr w:type="spellEnd"/>
      <w:r w:rsidRPr="008A4DFB">
        <w:rPr>
          <w:rFonts w:asciiTheme="majorHAnsi" w:hAnsiTheme="majorHAnsi" w:cstheme="majorHAnsi"/>
          <w:sz w:val="24"/>
        </w:rPr>
        <w:t xml:space="preserve">. All datasets are captured in a </w:t>
      </w:r>
      <w:proofErr w:type="spellStart"/>
      <w:r w:rsidRPr="008A4DFB">
        <w:rPr>
          <w:rFonts w:asciiTheme="majorHAnsi" w:hAnsiTheme="majorHAnsi" w:cstheme="majorHAnsi"/>
          <w:sz w:val="24"/>
        </w:rPr>
        <w:t>DatasetRegister</w:t>
      </w:r>
      <w:proofErr w:type="spellEnd"/>
      <w:r w:rsidRPr="008A4DFB">
        <w:rPr>
          <w:rFonts w:asciiTheme="majorHAnsi" w:hAnsiTheme="majorHAnsi" w:cstheme="majorHAnsi"/>
          <w:sz w:val="24"/>
        </w:rPr>
        <w:t xml:space="preserve"> with provenance, coverage, and quality notes.</w:t>
      </w:r>
    </w:p>
    <w:p w:rsidR="008A4DFB" w:rsidRPr="008A4DFB" w:rsidRDefault="008A4DFB" w:rsidP="008A4DFB">
      <w:pPr>
        <w:pStyle w:val="Heading2"/>
        <w:rPr>
          <w:rFonts w:cstheme="majorHAnsi"/>
          <w:sz w:val="28"/>
        </w:rPr>
      </w:pPr>
      <w:r w:rsidRPr="008A4DFB">
        <w:rPr>
          <w:rFonts w:cstheme="majorHAnsi"/>
          <w:sz w:val="28"/>
        </w:rPr>
        <w:t>Q4. Description of the Solution</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Overview</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An AI-assisted workflow for AHMIS that delivers three integrated capabilities in English, Hindi, and Tamil, with clinician control, traceability, and safety.</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Capability 1 Voice to EHR</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 xml:space="preserve">The clinician dictates the visit at point of care. Speech recognition and translation use BHASHINI. Constrained extraction converts the transcript into an EHR draft aligned to AHMIS fields, including locality, vitals, symptoms, risk factors, comorbidities, medication </w:t>
      </w:r>
      <w:r w:rsidRPr="008A4DFB">
        <w:rPr>
          <w:rFonts w:asciiTheme="majorHAnsi" w:hAnsiTheme="majorHAnsi" w:cstheme="majorHAnsi"/>
          <w:sz w:val="24"/>
        </w:rPr>
        <w:lastRenderedPageBreak/>
        <w:t>history as stated by the patient, red flags, and follow up. Validation rules check mandatory fields and plausible ranges. The clinician edits and confirms. Each field links to the supporting transcript snippet and all edits are recorded in an append-only audit trail.</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Capability 2 Review-only Early Warning</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Confirmed records are aggregated by locality and week into indicators such as persistent high blood pressure readings, urgent symptoms, and high-risk clusters. The system computes rates per 100 visits, compares to an 8 week baseline, applies deviation scoring plus clustering, and requires 2 week persistence before raising an alert. Alerts appear only in an authorised reviewer queue with reason codes, confidence, trends, and drill-down counts by centre and locality. Alerts support verification, resource planning, and preventive outreach and do not declare outbreaks.</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Capability 3 Personalised Guidance</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 xml:space="preserve">A hybrid engine generates an AYUSH-aligned plan covering yoga, breathing, </w:t>
      </w:r>
      <w:proofErr w:type="gramStart"/>
      <w:r w:rsidRPr="008A4DFB">
        <w:rPr>
          <w:rFonts w:asciiTheme="majorHAnsi" w:hAnsiTheme="majorHAnsi" w:cstheme="majorHAnsi"/>
          <w:sz w:val="24"/>
        </w:rPr>
        <w:t>diet</w:t>
      </w:r>
      <w:proofErr w:type="gramEnd"/>
      <w:r w:rsidRPr="008A4DFB">
        <w:rPr>
          <w:rFonts w:asciiTheme="majorHAnsi" w:hAnsiTheme="majorHAnsi" w:cstheme="majorHAnsi"/>
          <w:sz w:val="24"/>
        </w:rPr>
        <w:t>, sleep, stress management, and follow up reminders. Each item includes a Clinician Trust Layer showing reason, evidence basis type, contraindication checks, confidence, and clinician action status. Safety gates enforce referral-first behaviour for red flags, suppress unsafe outputs, and block dosing or medicine-change advice. Clinician feedback is captured and used only via governed refinement with periodic safety review and re-benchmarking.</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 xml:space="preserve">Data and </w:t>
      </w:r>
      <w:proofErr w:type="spellStart"/>
      <w:r w:rsidRPr="008A4DFB">
        <w:rPr>
          <w:rFonts w:asciiTheme="majorHAnsi" w:hAnsiTheme="majorHAnsi" w:cstheme="majorHAnsi"/>
          <w:b/>
          <w:sz w:val="24"/>
        </w:rPr>
        <w:t>Replicability</w:t>
      </w:r>
      <w:proofErr w:type="spellEnd"/>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 xml:space="preserve">Stage 1 uses labelled synthetic cases plus public datasets and curated AYUSH references. Provenance and quality are recorded in </w:t>
      </w:r>
      <w:proofErr w:type="spellStart"/>
      <w:r w:rsidRPr="008A4DFB">
        <w:rPr>
          <w:rFonts w:asciiTheme="majorHAnsi" w:hAnsiTheme="majorHAnsi" w:cstheme="majorHAnsi"/>
          <w:sz w:val="24"/>
        </w:rPr>
        <w:t>DatasetRegister</w:t>
      </w:r>
      <w:proofErr w:type="spellEnd"/>
      <w:r w:rsidRPr="008A4DFB">
        <w:rPr>
          <w:rFonts w:asciiTheme="majorHAnsi" w:hAnsiTheme="majorHAnsi" w:cstheme="majorHAnsi"/>
          <w:sz w:val="24"/>
        </w:rPr>
        <w:t xml:space="preserve"> and </w:t>
      </w:r>
      <w:proofErr w:type="spellStart"/>
      <w:r w:rsidRPr="008A4DFB">
        <w:rPr>
          <w:rFonts w:asciiTheme="majorHAnsi" w:hAnsiTheme="majorHAnsi" w:cstheme="majorHAnsi"/>
          <w:sz w:val="24"/>
        </w:rPr>
        <w:t>ThirdPartyRegister</w:t>
      </w:r>
      <w:proofErr w:type="spellEnd"/>
      <w:r w:rsidRPr="008A4DFB">
        <w:rPr>
          <w:rFonts w:asciiTheme="majorHAnsi" w:hAnsiTheme="majorHAnsi" w:cstheme="majorHAnsi"/>
          <w:sz w:val="24"/>
        </w:rPr>
        <w:t>. Replication to other diseases and sectors is enabled through configurable templates, indicators, and content packs while keeping the same governance, auditability, and safety controls.</w:t>
      </w:r>
    </w:p>
    <w:p w:rsidR="008A4DFB" w:rsidRPr="008A4DFB" w:rsidRDefault="008A4DFB" w:rsidP="008A4DFB">
      <w:pPr>
        <w:pStyle w:val="Heading2"/>
        <w:rPr>
          <w:rFonts w:cstheme="majorHAnsi"/>
          <w:sz w:val="28"/>
        </w:rPr>
      </w:pPr>
      <w:r w:rsidRPr="008A4DFB">
        <w:rPr>
          <w:rFonts w:cstheme="majorHAnsi"/>
          <w:sz w:val="28"/>
        </w:rPr>
        <w:t>Q5. Technology readiness level (1–9) with milestones and risks</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i/>
        </w:rPr>
        <w:t>Word count: 100 / 100</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 xml:space="preserve">Technology Readiness Level: 4. Milestone 1 is a runnable </w:t>
      </w:r>
      <w:proofErr w:type="spellStart"/>
      <w:r w:rsidRPr="008A4DFB">
        <w:rPr>
          <w:rFonts w:asciiTheme="majorHAnsi" w:hAnsiTheme="majorHAnsi" w:cstheme="majorHAnsi"/>
          <w:sz w:val="24"/>
        </w:rPr>
        <w:t>PoC</w:t>
      </w:r>
      <w:proofErr w:type="spellEnd"/>
      <w:r w:rsidRPr="008A4DFB">
        <w:rPr>
          <w:rFonts w:asciiTheme="majorHAnsi" w:hAnsiTheme="majorHAnsi" w:cstheme="majorHAnsi"/>
          <w:sz w:val="24"/>
        </w:rPr>
        <w:t xml:space="preserve"> for English, Hindi, and Tamil voice to EHR with clinician confirm, append-only audit trail, and 90 percent structured field completion on labelled synthetic cases, plus noise stress tests. Milestone 2 is early warning: locality weekly aggregation, reviewer alert queue, and 70 percent alert precision on labelled surge simulations with persistence rules. Milestone 3 is hypertension guidance with safety gates: zero prohibited outputs and referral-first for all red flags, with clinician sign-off. Key risks are data realism, noisy audio, and safety. Mitigation is staged validation, checklists, controlled change logs, and re-validation.</w:t>
      </w:r>
    </w:p>
    <w:p w:rsidR="00A54558" w:rsidRDefault="00A54558" w:rsidP="008A4DFB">
      <w:pPr>
        <w:pStyle w:val="Heading2"/>
        <w:rPr>
          <w:rFonts w:cstheme="majorHAnsi"/>
          <w:sz w:val="28"/>
        </w:rPr>
      </w:pPr>
    </w:p>
    <w:p w:rsidR="008A4DFB" w:rsidRPr="008A4DFB" w:rsidRDefault="008A4DFB" w:rsidP="008A4DFB">
      <w:pPr>
        <w:pStyle w:val="Heading2"/>
        <w:rPr>
          <w:rFonts w:cstheme="majorHAnsi"/>
          <w:sz w:val="28"/>
        </w:rPr>
      </w:pPr>
      <w:bookmarkStart w:id="0" w:name="_GoBack"/>
      <w:bookmarkEnd w:id="0"/>
      <w:r w:rsidRPr="008A4DFB">
        <w:rPr>
          <w:rFonts w:cstheme="majorHAnsi"/>
          <w:sz w:val="28"/>
        </w:rPr>
        <w:t>Q6. Improvement over open-source models and benchmarking</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Purpose</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Our solution improves on open source by converting components into a governed AHMIS workflow and proving it through benchmarks, safety gates, and auditability.</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Baselines</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 xml:space="preserve">Speech to text is benchmarked against Whisper and </w:t>
      </w:r>
      <w:proofErr w:type="spellStart"/>
      <w:r w:rsidRPr="008A4DFB">
        <w:rPr>
          <w:rFonts w:asciiTheme="majorHAnsi" w:hAnsiTheme="majorHAnsi" w:cstheme="majorHAnsi"/>
          <w:sz w:val="24"/>
        </w:rPr>
        <w:t>IndicConformer</w:t>
      </w:r>
      <w:proofErr w:type="spellEnd"/>
      <w:r w:rsidRPr="008A4DFB">
        <w:rPr>
          <w:rFonts w:asciiTheme="majorHAnsi" w:hAnsiTheme="majorHAnsi" w:cstheme="majorHAnsi"/>
          <w:sz w:val="24"/>
        </w:rPr>
        <w:t xml:space="preserve"> and against BHASHINI outputs. Translation is benchmarked against IndicTrans2 and BHASHINI translation. Draft structuring and explanations are benchmarked in two modes: unrestricted generation versus our governed mode with constraints, templates, and safety policy.</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 xml:space="preserve">What is </w:t>
      </w:r>
      <w:proofErr w:type="gramStart"/>
      <w:r w:rsidRPr="008A4DFB">
        <w:rPr>
          <w:rFonts w:asciiTheme="majorHAnsi" w:hAnsiTheme="majorHAnsi" w:cstheme="majorHAnsi"/>
          <w:b/>
          <w:sz w:val="24"/>
        </w:rPr>
        <w:t>Improved</w:t>
      </w:r>
      <w:proofErr w:type="gramEnd"/>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 xml:space="preserve">Structured capture maps transcripts into a fixed AHMIS-aligned EHR with field validation, bilingual review, clinician confirmation, and traceability from each field to transcript snippets. This reduces missing fields and prevents </w:t>
      </w:r>
      <w:proofErr w:type="spellStart"/>
      <w:r w:rsidRPr="008A4DFB">
        <w:rPr>
          <w:rFonts w:asciiTheme="majorHAnsi" w:hAnsiTheme="majorHAnsi" w:cstheme="majorHAnsi"/>
          <w:sz w:val="24"/>
        </w:rPr>
        <w:t>unreviewed</w:t>
      </w:r>
      <w:proofErr w:type="spellEnd"/>
      <w:r w:rsidRPr="008A4DFB">
        <w:rPr>
          <w:rFonts w:asciiTheme="majorHAnsi" w:hAnsiTheme="majorHAnsi" w:cstheme="majorHAnsi"/>
          <w:sz w:val="24"/>
        </w:rPr>
        <w:t xml:space="preserve"> free text from entering the record. Early warning reduces noise through locality aggregation, rates per 100 visits, 8 week baselines, clustering, and 2 week persistence with reviewer gating. Recommendations are safety governed with referral-first for red flags, blocks on dosing and medicine changes, contraindication checks, and a Clinician Trust Layer on every item.</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Methodology</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We use a documented evaluation pack with labelled synthetic cases, noise-augmented voice samples for English, Hindi, and Tamil, and held-out test splits. Labels are clinician reviewed for red flags and contraindications. We run repeated trials and report mean and variance to show stability.</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Indicators</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Speech uses WER and latency. Structuring uses field completion, extraction F1 for vitals, symptoms, comorbidities, red flags, and follow up, and clinician edit time. Early warning uses alert precision, recall, and time-to-detect on surge simulations. Safety uses prohibited output escape rate, red flag referral correctness, contraindication coverage, and Trust Layer completeness. We also report throughput, cost per visit note, and audit log completeness.</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Stage 1 Targets</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Target results are 90 percent field completion, 70 percent alert precision on surge simulations, and zero prohibited output escapes, reported in a benchmark report with error analysis and corrective actions.</w:t>
      </w:r>
    </w:p>
    <w:p w:rsidR="008A4DFB" w:rsidRPr="008A4DFB" w:rsidRDefault="008A4DFB" w:rsidP="008A4DFB">
      <w:pPr>
        <w:pStyle w:val="Heading2"/>
        <w:rPr>
          <w:rFonts w:cstheme="majorHAnsi"/>
          <w:sz w:val="28"/>
        </w:rPr>
      </w:pPr>
      <w:r w:rsidRPr="008A4DFB">
        <w:rPr>
          <w:rFonts w:cstheme="majorHAnsi"/>
          <w:sz w:val="28"/>
        </w:rPr>
        <w:lastRenderedPageBreak/>
        <w:t>Q7. Architecture and Design (upload/link)</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We are uploading the Architecture and Design pack for Problem Statement 3. It includes system architecture, UC1 voice-to-EHR flow, UC2 early-warning flow, UC3 personalised hypertension guidance flow, data flow diagram, logical data model, sandbox deployment view, security architecture (RBAC, key handling, and audit logging), integration boundary for future AHMIS connectivity, and the testing and benchmarking workflow. The pack also includes the API catalogue, event catalogue for audit logs, and the evaluation and benchmarking workflow notes so reviewers can reproduce measurements. All uploads follow the naming convention: YogNayur_IndiaAI2026_AYUSH_PS3_&lt;ArtifactName&gt;_Hypertension_V&lt;Major&gt;.&lt;Minor&gt;_YYYYMMDD</w:t>
      </w:r>
      <w:proofErr w:type="gramStart"/>
      <w:r w:rsidRPr="008A4DFB">
        <w:rPr>
          <w:rFonts w:asciiTheme="majorHAnsi" w:hAnsiTheme="majorHAnsi" w:cstheme="majorHAnsi"/>
          <w:sz w:val="24"/>
        </w:rPr>
        <w:t>.&lt;</w:t>
      </w:r>
      <w:proofErr w:type="gramEnd"/>
      <w:r w:rsidRPr="008A4DFB">
        <w:rPr>
          <w:rFonts w:asciiTheme="majorHAnsi" w:hAnsiTheme="majorHAnsi" w:cstheme="majorHAnsi"/>
          <w:sz w:val="24"/>
        </w:rPr>
        <w:t>ext&gt;.</w:t>
      </w:r>
    </w:p>
    <w:p w:rsidR="008A4DFB" w:rsidRPr="008A4DFB" w:rsidRDefault="008A4DFB" w:rsidP="008A4DFB">
      <w:pPr>
        <w:pStyle w:val="Heading2"/>
        <w:rPr>
          <w:rFonts w:cstheme="majorHAnsi"/>
          <w:sz w:val="28"/>
        </w:rPr>
      </w:pPr>
      <w:r w:rsidRPr="008A4DFB">
        <w:rPr>
          <w:rFonts w:cstheme="majorHAnsi"/>
          <w:sz w:val="28"/>
        </w:rPr>
        <w:t>Q8. Data Governance and Security</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i/>
        </w:rPr>
        <w:t>Word count: 99 / 100</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Scope</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Minimum data is collected for an explicit purpose and consent. Stage 1 uses only synthetic and public data in a sandbox.</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Protection</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Production design uses segregated storage, encrypted databases, backups, and key management. Confidentiality uses role based access, least privilege, MFA for administrators, and audited access logs. Encryption uses TLS in transit and AES 256 at rest.</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Audit and Retention</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Append-only audit logs cover record create, edit, confirm, alert review, recommendation view, and export. Retention follows Ministry policy with secure deletion and removal on request where applicable.</w:t>
      </w:r>
    </w:p>
    <w:p w:rsidR="008A4DFB" w:rsidRPr="008A4DFB" w:rsidRDefault="008A4DFB" w:rsidP="008A4DFB">
      <w:pPr>
        <w:rPr>
          <w:rFonts w:asciiTheme="majorHAnsi" w:hAnsiTheme="majorHAnsi" w:cstheme="majorHAnsi"/>
          <w:sz w:val="24"/>
        </w:rPr>
      </w:pPr>
      <w:r w:rsidRPr="008A4DFB">
        <w:rPr>
          <w:rFonts w:asciiTheme="majorHAnsi" w:hAnsiTheme="majorHAnsi" w:cstheme="majorHAnsi"/>
          <w:b/>
          <w:sz w:val="24"/>
        </w:rPr>
        <w:t>Alignment</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Controls align to DPDP Act 2023 and CERT-In directions, with periodic access reviews and security testing.</w:t>
      </w:r>
    </w:p>
    <w:p w:rsidR="008A4DFB" w:rsidRPr="008A4DFB" w:rsidRDefault="008A4DFB" w:rsidP="008A4DFB">
      <w:pPr>
        <w:pStyle w:val="Heading2"/>
        <w:rPr>
          <w:rFonts w:cstheme="majorHAnsi"/>
          <w:sz w:val="28"/>
        </w:rPr>
      </w:pPr>
      <w:r w:rsidRPr="008A4DFB">
        <w:rPr>
          <w:rFonts w:cstheme="majorHAnsi"/>
          <w:sz w:val="28"/>
        </w:rPr>
        <w:t>Q9. Compliance with Responsible AI Principles</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 xml:space="preserve">Responsible AI is enforced through human control, transparency, fairness, and harm prevention. The system drafts and the clinician must confirm, edit, or reject. Red flags trigger referral-first escalation and unsafe outputs are blocked. Transparency is delivered through the Clinician Trust Layer showing reason, evidence basis type, contraindication checks, and confidence. Privacy by design uses minimum data, role based access, and audit logs. Fairness is tested across English, Hindi, and Tamil and across demographic </w:t>
      </w:r>
      <w:r w:rsidRPr="008A4DFB">
        <w:rPr>
          <w:rFonts w:asciiTheme="majorHAnsi" w:hAnsiTheme="majorHAnsi" w:cstheme="majorHAnsi"/>
          <w:sz w:val="24"/>
        </w:rPr>
        <w:lastRenderedPageBreak/>
        <w:t>groups on the evaluation pack, with error analysis and corrective updates. Ongoing safety uses drift checks, scheduled re-validation, and a documented review process.</w:t>
      </w:r>
    </w:p>
    <w:p w:rsidR="008A4DFB" w:rsidRPr="008A4DFB" w:rsidRDefault="008A4DFB" w:rsidP="008A4DFB">
      <w:pPr>
        <w:pStyle w:val="Heading2"/>
        <w:rPr>
          <w:rFonts w:cstheme="majorHAnsi"/>
          <w:sz w:val="28"/>
        </w:rPr>
      </w:pPr>
      <w:r w:rsidRPr="008A4DFB">
        <w:rPr>
          <w:rFonts w:cstheme="majorHAnsi"/>
          <w:sz w:val="28"/>
        </w:rPr>
        <w:t>Q10. Scalability and Integration Readiness</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 xml:space="preserve">Deployment starts as a sandbox </w:t>
      </w:r>
      <w:proofErr w:type="spellStart"/>
      <w:r w:rsidRPr="008A4DFB">
        <w:rPr>
          <w:rFonts w:asciiTheme="majorHAnsi" w:hAnsiTheme="majorHAnsi" w:cstheme="majorHAnsi"/>
          <w:sz w:val="24"/>
        </w:rPr>
        <w:t>PoC</w:t>
      </w:r>
      <w:proofErr w:type="spellEnd"/>
      <w:r w:rsidRPr="008A4DFB">
        <w:rPr>
          <w:rFonts w:asciiTheme="majorHAnsi" w:hAnsiTheme="majorHAnsi" w:cstheme="majorHAnsi"/>
          <w:sz w:val="24"/>
        </w:rPr>
        <w:t xml:space="preserve"> with modular services behind APIs and queues for horizontal scaling. Integration readiness is delivered through documented APIs, schema notes, and an explicit AHMIS boundary, without claiming live integration in Stage 1. Offline operability is supported through store-and-forward capture with retry, so clinicians can record visits during intermittent connectivity and sync later while preserving audit trails. Future expansion is enabled through language packs and disease packs that configure EHR templates, red-flag rules, indicators, and curated content, allowing extension beyond hypertension and beyond three languages after validation, security review, and approvals.</w:t>
      </w:r>
    </w:p>
    <w:p w:rsidR="008A4DFB" w:rsidRPr="008A4DFB" w:rsidRDefault="008A4DFB" w:rsidP="008A4DFB">
      <w:pPr>
        <w:pStyle w:val="Heading2"/>
        <w:rPr>
          <w:rFonts w:cstheme="majorHAnsi"/>
          <w:sz w:val="28"/>
        </w:rPr>
      </w:pPr>
      <w:r w:rsidRPr="008A4DFB">
        <w:rPr>
          <w:rFonts w:cstheme="majorHAnsi"/>
          <w:sz w:val="28"/>
        </w:rPr>
        <w:t>Q11. Has the solution been piloted/deployed?</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 xml:space="preserve">The solution has not yet been piloted or deployed on government AHMIS infrastructure. Stage 1 delivers a sandbox </w:t>
      </w:r>
      <w:proofErr w:type="spellStart"/>
      <w:r w:rsidRPr="008A4DFB">
        <w:rPr>
          <w:rFonts w:asciiTheme="majorHAnsi" w:hAnsiTheme="majorHAnsi" w:cstheme="majorHAnsi"/>
          <w:sz w:val="24"/>
        </w:rPr>
        <w:t>PoC</w:t>
      </w:r>
      <w:proofErr w:type="spellEnd"/>
      <w:r w:rsidRPr="008A4DFB">
        <w:rPr>
          <w:rFonts w:asciiTheme="majorHAnsi" w:hAnsiTheme="majorHAnsi" w:cstheme="majorHAnsi"/>
          <w:sz w:val="24"/>
        </w:rPr>
        <w:t xml:space="preserve"> validated on labelled synthetic cases, public datasets, and curated AYUSH references, plus clinician walkthroughs to confirm usability, field completeness, and safety boundaries. If shortlisted, we move to pilot readiness with integration design, schema mapping, access approvals, security review, training material, and a rollback plan. Any pilot will run only after Ministry approvals and will be monitored for documentation time saved, record completeness, alert precision, clinician acceptance of guidance, and any safety events, with controlled change management.</w:t>
      </w:r>
    </w:p>
    <w:p w:rsidR="008A4DFB" w:rsidRPr="008A4DFB" w:rsidRDefault="008A4DFB" w:rsidP="008A4DFB">
      <w:pPr>
        <w:pStyle w:val="Heading2"/>
        <w:rPr>
          <w:rFonts w:cstheme="majorHAnsi"/>
          <w:sz w:val="28"/>
        </w:rPr>
      </w:pPr>
      <w:r w:rsidRPr="008A4DFB">
        <w:rPr>
          <w:rFonts w:cstheme="majorHAnsi"/>
          <w:sz w:val="28"/>
        </w:rPr>
        <w:t>Q12. Upload supporting documents for pilot/deployment, if any</w:t>
      </w:r>
    </w:p>
    <w:p w:rsidR="008A4DFB" w:rsidRPr="008A4DFB" w:rsidRDefault="008A4DFB" w:rsidP="008A4DFB">
      <w:pPr>
        <w:spacing w:after="120"/>
        <w:rPr>
          <w:rFonts w:asciiTheme="majorHAnsi" w:hAnsiTheme="majorHAnsi" w:cstheme="majorHAnsi"/>
          <w:sz w:val="24"/>
        </w:rPr>
      </w:pPr>
      <w:r w:rsidRPr="008A4DFB">
        <w:rPr>
          <w:rFonts w:asciiTheme="majorHAnsi" w:hAnsiTheme="majorHAnsi" w:cstheme="majorHAnsi"/>
          <w:sz w:val="24"/>
        </w:rPr>
        <w:t xml:space="preserve">No pilot or deployment evidence is attached because the solution has not yet been piloted on AHMIS. For evaluation, we will upload a complete </w:t>
      </w:r>
      <w:proofErr w:type="spellStart"/>
      <w:r w:rsidRPr="008A4DFB">
        <w:rPr>
          <w:rFonts w:asciiTheme="majorHAnsi" w:hAnsiTheme="majorHAnsi" w:cstheme="majorHAnsi"/>
          <w:sz w:val="24"/>
        </w:rPr>
        <w:t>PoC</w:t>
      </w:r>
      <w:proofErr w:type="spellEnd"/>
      <w:r w:rsidRPr="008A4DFB">
        <w:rPr>
          <w:rFonts w:asciiTheme="majorHAnsi" w:hAnsiTheme="majorHAnsi" w:cstheme="majorHAnsi"/>
          <w:sz w:val="24"/>
        </w:rPr>
        <w:t xml:space="preserve"> evidence pack, including:</w:t>
      </w:r>
      <w:r w:rsidRPr="008A4DFB">
        <w:rPr>
          <w:rFonts w:asciiTheme="majorHAnsi" w:hAnsiTheme="majorHAnsi" w:cstheme="majorHAnsi"/>
          <w:sz w:val="24"/>
        </w:rPr>
        <w:br/>
        <w:t xml:space="preserve">1) </w:t>
      </w:r>
      <w:proofErr w:type="spellStart"/>
      <w:r w:rsidRPr="008A4DFB">
        <w:rPr>
          <w:rFonts w:asciiTheme="majorHAnsi" w:hAnsiTheme="majorHAnsi" w:cstheme="majorHAnsi"/>
          <w:sz w:val="24"/>
        </w:rPr>
        <w:t>ArchitecturePack</w:t>
      </w:r>
      <w:proofErr w:type="spellEnd"/>
      <w:r w:rsidRPr="008A4DFB">
        <w:rPr>
          <w:rFonts w:asciiTheme="majorHAnsi" w:hAnsiTheme="majorHAnsi" w:cstheme="majorHAnsi"/>
          <w:sz w:val="24"/>
        </w:rPr>
        <w:t xml:space="preserve"> and module process flows (UC1, UC2, UC3)</w:t>
      </w:r>
      <w:r w:rsidRPr="008A4DFB">
        <w:rPr>
          <w:rFonts w:asciiTheme="majorHAnsi" w:hAnsiTheme="majorHAnsi" w:cstheme="majorHAnsi"/>
          <w:sz w:val="24"/>
        </w:rPr>
        <w:br/>
        <w:t xml:space="preserve">2) </w:t>
      </w:r>
      <w:proofErr w:type="spellStart"/>
      <w:r w:rsidRPr="008A4DFB">
        <w:rPr>
          <w:rFonts w:asciiTheme="majorHAnsi" w:hAnsiTheme="majorHAnsi" w:cstheme="majorHAnsi"/>
          <w:sz w:val="24"/>
        </w:rPr>
        <w:t>DataFlows</w:t>
      </w:r>
      <w:proofErr w:type="spellEnd"/>
      <w:r w:rsidRPr="008A4DFB">
        <w:rPr>
          <w:rFonts w:asciiTheme="majorHAnsi" w:hAnsiTheme="majorHAnsi" w:cstheme="majorHAnsi"/>
          <w:sz w:val="24"/>
        </w:rPr>
        <w:t xml:space="preserve"> and Logical Data Model</w:t>
      </w:r>
      <w:r w:rsidRPr="008A4DFB">
        <w:rPr>
          <w:rFonts w:asciiTheme="majorHAnsi" w:hAnsiTheme="majorHAnsi" w:cstheme="majorHAnsi"/>
          <w:sz w:val="24"/>
        </w:rPr>
        <w:br/>
        <w:t xml:space="preserve">3) </w:t>
      </w:r>
      <w:proofErr w:type="spellStart"/>
      <w:r w:rsidRPr="008A4DFB">
        <w:rPr>
          <w:rFonts w:asciiTheme="majorHAnsi" w:hAnsiTheme="majorHAnsi" w:cstheme="majorHAnsi"/>
          <w:sz w:val="24"/>
        </w:rPr>
        <w:t>SecurityArchitecture</w:t>
      </w:r>
      <w:proofErr w:type="spellEnd"/>
      <w:r w:rsidRPr="008A4DFB">
        <w:rPr>
          <w:rFonts w:asciiTheme="majorHAnsi" w:hAnsiTheme="majorHAnsi" w:cstheme="majorHAnsi"/>
          <w:sz w:val="24"/>
        </w:rPr>
        <w:t xml:space="preserve"> and Data Governance checklist</w:t>
      </w:r>
      <w:r w:rsidRPr="008A4DFB">
        <w:rPr>
          <w:rFonts w:asciiTheme="majorHAnsi" w:hAnsiTheme="majorHAnsi" w:cstheme="majorHAnsi"/>
          <w:sz w:val="24"/>
        </w:rPr>
        <w:br/>
        <w:t xml:space="preserve">4) </w:t>
      </w:r>
      <w:proofErr w:type="spellStart"/>
      <w:r w:rsidRPr="008A4DFB">
        <w:rPr>
          <w:rFonts w:asciiTheme="majorHAnsi" w:hAnsiTheme="majorHAnsi" w:cstheme="majorHAnsi"/>
          <w:sz w:val="24"/>
        </w:rPr>
        <w:t>IntegrationReadiness</w:t>
      </w:r>
      <w:proofErr w:type="spellEnd"/>
      <w:r w:rsidRPr="008A4DFB">
        <w:rPr>
          <w:rFonts w:asciiTheme="majorHAnsi" w:hAnsiTheme="majorHAnsi" w:cstheme="majorHAnsi"/>
          <w:sz w:val="24"/>
        </w:rPr>
        <w:t xml:space="preserve"> boundary note and API and schema mapping notes</w:t>
      </w:r>
      <w:r w:rsidRPr="008A4DFB">
        <w:rPr>
          <w:rFonts w:asciiTheme="majorHAnsi" w:hAnsiTheme="majorHAnsi" w:cstheme="majorHAnsi"/>
          <w:sz w:val="24"/>
        </w:rPr>
        <w:br/>
        <w:t xml:space="preserve">5) </w:t>
      </w:r>
      <w:proofErr w:type="spellStart"/>
      <w:r w:rsidRPr="008A4DFB">
        <w:rPr>
          <w:rFonts w:asciiTheme="majorHAnsi" w:hAnsiTheme="majorHAnsi" w:cstheme="majorHAnsi"/>
          <w:sz w:val="24"/>
        </w:rPr>
        <w:t>DatasetRegister</w:t>
      </w:r>
      <w:proofErr w:type="spellEnd"/>
      <w:r w:rsidRPr="008A4DFB">
        <w:rPr>
          <w:rFonts w:asciiTheme="majorHAnsi" w:hAnsiTheme="majorHAnsi" w:cstheme="majorHAnsi"/>
          <w:sz w:val="24"/>
        </w:rPr>
        <w:t xml:space="preserve"> and </w:t>
      </w:r>
      <w:proofErr w:type="spellStart"/>
      <w:r w:rsidRPr="008A4DFB">
        <w:rPr>
          <w:rFonts w:asciiTheme="majorHAnsi" w:hAnsiTheme="majorHAnsi" w:cstheme="majorHAnsi"/>
          <w:sz w:val="24"/>
        </w:rPr>
        <w:t>ThirdPartyRegister</w:t>
      </w:r>
      <w:proofErr w:type="spellEnd"/>
      <w:r w:rsidRPr="008A4DFB">
        <w:rPr>
          <w:rFonts w:asciiTheme="majorHAnsi" w:hAnsiTheme="majorHAnsi" w:cstheme="majorHAnsi"/>
          <w:sz w:val="24"/>
        </w:rPr>
        <w:br/>
        <w:t xml:space="preserve">6) </w:t>
      </w:r>
      <w:proofErr w:type="spellStart"/>
      <w:r w:rsidRPr="008A4DFB">
        <w:rPr>
          <w:rFonts w:asciiTheme="majorHAnsi" w:hAnsiTheme="majorHAnsi" w:cstheme="majorHAnsi"/>
          <w:sz w:val="24"/>
        </w:rPr>
        <w:t>EvaluationPack</w:t>
      </w:r>
      <w:proofErr w:type="spellEnd"/>
      <w:r w:rsidRPr="008A4DFB">
        <w:rPr>
          <w:rFonts w:asciiTheme="majorHAnsi" w:hAnsiTheme="majorHAnsi" w:cstheme="majorHAnsi"/>
          <w:sz w:val="24"/>
        </w:rPr>
        <w:t xml:space="preserve"> specification and labelled case design notes</w:t>
      </w:r>
      <w:r w:rsidRPr="008A4DFB">
        <w:rPr>
          <w:rFonts w:asciiTheme="majorHAnsi" w:hAnsiTheme="majorHAnsi" w:cstheme="majorHAnsi"/>
          <w:sz w:val="24"/>
        </w:rPr>
        <w:br/>
        <w:t xml:space="preserve">7) </w:t>
      </w:r>
      <w:proofErr w:type="spellStart"/>
      <w:r w:rsidRPr="008A4DFB">
        <w:rPr>
          <w:rFonts w:asciiTheme="majorHAnsi" w:hAnsiTheme="majorHAnsi" w:cstheme="majorHAnsi"/>
          <w:sz w:val="24"/>
        </w:rPr>
        <w:t>BenchmarkReport</w:t>
      </w:r>
      <w:proofErr w:type="spellEnd"/>
      <w:r w:rsidRPr="008A4DFB">
        <w:rPr>
          <w:rFonts w:asciiTheme="majorHAnsi" w:hAnsiTheme="majorHAnsi" w:cstheme="majorHAnsi"/>
          <w:sz w:val="24"/>
        </w:rPr>
        <w:t xml:space="preserve"> with metrics and error analysis</w:t>
      </w:r>
      <w:r w:rsidRPr="008A4DFB">
        <w:rPr>
          <w:rFonts w:asciiTheme="majorHAnsi" w:hAnsiTheme="majorHAnsi" w:cstheme="majorHAnsi"/>
          <w:sz w:val="24"/>
        </w:rPr>
        <w:br/>
        <w:t xml:space="preserve">8) </w:t>
      </w:r>
      <w:proofErr w:type="spellStart"/>
      <w:r w:rsidRPr="008A4DFB">
        <w:rPr>
          <w:rFonts w:asciiTheme="majorHAnsi" w:hAnsiTheme="majorHAnsi" w:cstheme="majorHAnsi"/>
          <w:sz w:val="24"/>
        </w:rPr>
        <w:t>TestPlan</w:t>
      </w:r>
      <w:proofErr w:type="spellEnd"/>
      <w:r w:rsidRPr="008A4DFB">
        <w:rPr>
          <w:rFonts w:asciiTheme="majorHAnsi" w:hAnsiTheme="majorHAnsi" w:cstheme="majorHAnsi"/>
          <w:sz w:val="24"/>
        </w:rPr>
        <w:t>, QA execution summary template, and performance test template</w:t>
      </w:r>
      <w:r w:rsidRPr="008A4DFB">
        <w:rPr>
          <w:rFonts w:asciiTheme="majorHAnsi" w:hAnsiTheme="majorHAnsi" w:cstheme="majorHAnsi"/>
          <w:sz w:val="24"/>
        </w:rPr>
        <w:br/>
        <w:t>9) Clinical review checklist templates and sign-off format for red flags and contraindications</w:t>
      </w:r>
      <w:r w:rsidRPr="008A4DFB">
        <w:rPr>
          <w:rFonts w:asciiTheme="majorHAnsi" w:hAnsiTheme="majorHAnsi" w:cstheme="majorHAnsi"/>
          <w:sz w:val="24"/>
        </w:rPr>
        <w:br/>
        <w:t>10) Governance templates: decision log, issue log, change log, and release notes</w:t>
      </w:r>
      <w:r w:rsidRPr="008A4DFB">
        <w:rPr>
          <w:rFonts w:asciiTheme="majorHAnsi" w:hAnsiTheme="majorHAnsi" w:cstheme="majorHAnsi"/>
          <w:sz w:val="24"/>
        </w:rPr>
        <w:br/>
        <w:t xml:space="preserve">If shortlisted and piloting is approved, we will additionally provide pilot site </w:t>
      </w:r>
      <w:proofErr w:type="spellStart"/>
      <w:r w:rsidRPr="008A4DFB">
        <w:rPr>
          <w:rFonts w:asciiTheme="majorHAnsi" w:hAnsiTheme="majorHAnsi" w:cstheme="majorHAnsi"/>
          <w:sz w:val="24"/>
        </w:rPr>
        <w:t>onboarding</w:t>
      </w:r>
      <w:proofErr w:type="spellEnd"/>
      <w:r w:rsidRPr="008A4DFB">
        <w:rPr>
          <w:rFonts w:asciiTheme="majorHAnsi" w:hAnsiTheme="majorHAnsi" w:cstheme="majorHAnsi"/>
          <w:sz w:val="24"/>
        </w:rPr>
        <w:t xml:space="preserve"> </w:t>
      </w:r>
      <w:r w:rsidRPr="008A4DFB">
        <w:rPr>
          <w:rFonts w:asciiTheme="majorHAnsi" w:hAnsiTheme="majorHAnsi" w:cstheme="majorHAnsi"/>
          <w:sz w:val="24"/>
        </w:rPr>
        <w:lastRenderedPageBreak/>
        <w:t>checklists, training SOPs, monitoring dashboards, pilot reports, and closure report artefacts.</w:t>
      </w:r>
    </w:p>
    <w:tbl>
      <w:tblPr>
        <w:tblW w:w="0" w:type="auto"/>
        <w:jc w:val="center"/>
        <w:tblLook w:val="04A0" w:firstRow="1" w:lastRow="0" w:firstColumn="1" w:lastColumn="0" w:noHBand="0" w:noVBand="1"/>
      </w:tblPr>
      <w:tblGrid>
        <w:gridCol w:w="1728"/>
        <w:gridCol w:w="1728"/>
        <w:gridCol w:w="1728"/>
        <w:gridCol w:w="1728"/>
        <w:gridCol w:w="1728"/>
      </w:tblGrid>
      <w:tr w:rsidR="008A4DFB" w:rsidRPr="008A4DFB" w:rsidTr="001B0C68">
        <w:trPr>
          <w:jc w:val="center"/>
        </w:trPr>
        <w:tc>
          <w:tcPr>
            <w:tcW w:w="1728" w:type="dxa"/>
          </w:tcPr>
          <w:p w:rsidR="008A4DFB" w:rsidRPr="008A4DFB" w:rsidRDefault="008A4DFB" w:rsidP="001B0C68">
            <w:pPr>
              <w:rPr>
                <w:rFonts w:asciiTheme="majorHAnsi" w:hAnsiTheme="majorHAnsi" w:cstheme="majorHAnsi"/>
                <w:sz w:val="24"/>
              </w:rPr>
            </w:pPr>
          </w:p>
        </w:tc>
        <w:tc>
          <w:tcPr>
            <w:tcW w:w="1728" w:type="dxa"/>
          </w:tcPr>
          <w:p w:rsidR="008A4DFB" w:rsidRPr="008A4DFB" w:rsidRDefault="008A4DFB" w:rsidP="001B0C68">
            <w:pPr>
              <w:rPr>
                <w:rFonts w:asciiTheme="majorHAnsi" w:hAnsiTheme="majorHAnsi" w:cstheme="majorHAnsi"/>
                <w:sz w:val="24"/>
              </w:rPr>
            </w:pPr>
          </w:p>
        </w:tc>
        <w:tc>
          <w:tcPr>
            <w:tcW w:w="1728" w:type="dxa"/>
          </w:tcPr>
          <w:p w:rsidR="008A4DFB" w:rsidRPr="008A4DFB" w:rsidRDefault="008A4DFB" w:rsidP="001B0C68">
            <w:pPr>
              <w:rPr>
                <w:rFonts w:asciiTheme="majorHAnsi" w:hAnsiTheme="majorHAnsi" w:cstheme="majorHAnsi"/>
                <w:sz w:val="24"/>
              </w:rPr>
            </w:pPr>
          </w:p>
        </w:tc>
        <w:tc>
          <w:tcPr>
            <w:tcW w:w="1728" w:type="dxa"/>
          </w:tcPr>
          <w:p w:rsidR="008A4DFB" w:rsidRPr="008A4DFB" w:rsidRDefault="008A4DFB" w:rsidP="001B0C68">
            <w:pPr>
              <w:rPr>
                <w:rFonts w:asciiTheme="majorHAnsi" w:hAnsiTheme="majorHAnsi" w:cstheme="majorHAnsi"/>
                <w:sz w:val="24"/>
              </w:rPr>
            </w:pPr>
          </w:p>
        </w:tc>
        <w:tc>
          <w:tcPr>
            <w:tcW w:w="1728" w:type="dxa"/>
          </w:tcPr>
          <w:p w:rsidR="008A4DFB" w:rsidRPr="008A4DFB" w:rsidRDefault="008A4DFB" w:rsidP="001B0C68">
            <w:pPr>
              <w:rPr>
                <w:rFonts w:asciiTheme="majorHAnsi" w:hAnsiTheme="majorHAnsi" w:cstheme="majorHAnsi"/>
                <w:sz w:val="24"/>
              </w:rPr>
            </w:pPr>
          </w:p>
        </w:tc>
      </w:tr>
      <w:tr w:rsidR="008A4DFB" w:rsidRPr="008A4DFB" w:rsidTr="001B0C68">
        <w:trPr>
          <w:jc w:val="center"/>
        </w:trPr>
        <w:tc>
          <w:tcPr>
            <w:tcW w:w="1728" w:type="dxa"/>
          </w:tcPr>
          <w:p w:rsidR="008A4DFB" w:rsidRPr="008A4DFB" w:rsidRDefault="008A4DFB" w:rsidP="001B0C68">
            <w:pPr>
              <w:rPr>
                <w:rFonts w:asciiTheme="majorHAnsi" w:hAnsiTheme="majorHAnsi" w:cstheme="majorHAnsi"/>
                <w:sz w:val="24"/>
              </w:rPr>
            </w:pPr>
          </w:p>
        </w:tc>
        <w:tc>
          <w:tcPr>
            <w:tcW w:w="1728" w:type="dxa"/>
          </w:tcPr>
          <w:p w:rsidR="008A4DFB" w:rsidRPr="008A4DFB" w:rsidRDefault="008A4DFB" w:rsidP="001B0C68">
            <w:pPr>
              <w:rPr>
                <w:rFonts w:asciiTheme="majorHAnsi" w:hAnsiTheme="majorHAnsi" w:cstheme="majorHAnsi"/>
                <w:sz w:val="24"/>
              </w:rPr>
            </w:pPr>
          </w:p>
        </w:tc>
        <w:tc>
          <w:tcPr>
            <w:tcW w:w="1728" w:type="dxa"/>
          </w:tcPr>
          <w:p w:rsidR="008A4DFB" w:rsidRPr="008A4DFB" w:rsidRDefault="008A4DFB" w:rsidP="001B0C68">
            <w:pPr>
              <w:rPr>
                <w:rFonts w:asciiTheme="majorHAnsi" w:hAnsiTheme="majorHAnsi" w:cstheme="majorHAnsi"/>
                <w:sz w:val="24"/>
              </w:rPr>
            </w:pPr>
          </w:p>
        </w:tc>
        <w:tc>
          <w:tcPr>
            <w:tcW w:w="1728" w:type="dxa"/>
          </w:tcPr>
          <w:p w:rsidR="008A4DFB" w:rsidRPr="008A4DFB" w:rsidRDefault="008A4DFB" w:rsidP="001B0C68">
            <w:pPr>
              <w:rPr>
                <w:rFonts w:asciiTheme="majorHAnsi" w:hAnsiTheme="majorHAnsi" w:cstheme="majorHAnsi"/>
                <w:sz w:val="24"/>
              </w:rPr>
            </w:pPr>
          </w:p>
        </w:tc>
        <w:tc>
          <w:tcPr>
            <w:tcW w:w="1728" w:type="dxa"/>
          </w:tcPr>
          <w:p w:rsidR="008A4DFB" w:rsidRPr="008A4DFB" w:rsidRDefault="008A4DFB" w:rsidP="001B0C68">
            <w:pPr>
              <w:rPr>
                <w:rFonts w:asciiTheme="majorHAnsi" w:hAnsiTheme="majorHAnsi" w:cstheme="majorHAnsi"/>
                <w:sz w:val="24"/>
              </w:rPr>
            </w:pPr>
          </w:p>
        </w:tc>
      </w:tr>
      <w:tr w:rsidR="008A4DFB" w:rsidRPr="008A4DFB" w:rsidTr="001B0C68">
        <w:trPr>
          <w:jc w:val="center"/>
        </w:trPr>
        <w:tc>
          <w:tcPr>
            <w:tcW w:w="1728" w:type="dxa"/>
          </w:tcPr>
          <w:p w:rsidR="008A4DFB" w:rsidRPr="008A4DFB" w:rsidRDefault="008A4DFB" w:rsidP="001B0C68">
            <w:pPr>
              <w:rPr>
                <w:rFonts w:asciiTheme="majorHAnsi" w:hAnsiTheme="majorHAnsi" w:cstheme="majorHAnsi"/>
                <w:sz w:val="24"/>
              </w:rPr>
            </w:pPr>
          </w:p>
        </w:tc>
        <w:tc>
          <w:tcPr>
            <w:tcW w:w="1728" w:type="dxa"/>
          </w:tcPr>
          <w:p w:rsidR="008A4DFB" w:rsidRPr="008A4DFB" w:rsidRDefault="008A4DFB" w:rsidP="001B0C68">
            <w:pPr>
              <w:rPr>
                <w:rFonts w:asciiTheme="majorHAnsi" w:hAnsiTheme="majorHAnsi" w:cstheme="majorHAnsi"/>
                <w:sz w:val="24"/>
              </w:rPr>
            </w:pPr>
          </w:p>
        </w:tc>
        <w:tc>
          <w:tcPr>
            <w:tcW w:w="1728" w:type="dxa"/>
          </w:tcPr>
          <w:p w:rsidR="008A4DFB" w:rsidRPr="008A4DFB" w:rsidRDefault="008A4DFB" w:rsidP="001B0C68">
            <w:pPr>
              <w:rPr>
                <w:rFonts w:asciiTheme="majorHAnsi" w:hAnsiTheme="majorHAnsi" w:cstheme="majorHAnsi"/>
                <w:sz w:val="24"/>
              </w:rPr>
            </w:pPr>
          </w:p>
        </w:tc>
        <w:tc>
          <w:tcPr>
            <w:tcW w:w="1728" w:type="dxa"/>
          </w:tcPr>
          <w:p w:rsidR="008A4DFB" w:rsidRPr="008A4DFB" w:rsidRDefault="008A4DFB" w:rsidP="001B0C68">
            <w:pPr>
              <w:rPr>
                <w:rFonts w:asciiTheme="majorHAnsi" w:hAnsiTheme="majorHAnsi" w:cstheme="majorHAnsi"/>
                <w:sz w:val="24"/>
              </w:rPr>
            </w:pPr>
          </w:p>
        </w:tc>
        <w:tc>
          <w:tcPr>
            <w:tcW w:w="1728" w:type="dxa"/>
          </w:tcPr>
          <w:p w:rsidR="008A4DFB" w:rsidRPr="008A4DFB" w:rsidRDefault="008A4DFB" w:rsidP="001B0C68">
            <w:pPr>
              <w:rPr>
                <w:rFonts w:asciiTheme="majorHAnsi" w:hAnsiTheme="majorHAnsi" w:cstheme="majorHAnsi"/>
                <w:sz w:val="24"/>
              </w:rPr>
            </w:pPr>
          </w:p>
        </w:tc>
      </w:tr>
    </w:tbl>
    <w:p w:rsidR="008A4DFB" w:rsidRPr="008A4DFB" w:rsidRDefault="008A4DFB" w:rsidP="008A4DFB">
      <w:pPr>
        <w:rPr>
          <w:rFonts w:asciiTheme="majorHAnsi" w:hAnsiTheme="majorHAnsi" w:cstheme="majorHAnsi"/>
          <w:sz w:val="24"/>
        </w:rPr>
      </w:pPr>
    </w:p>
    <w:p w:rsidR="00264BC0" w:rsidRPr="008A4DFB" w:rsidRDefault="00A54558">
      <w:pPr>
        <w:rPr>
          <w:sz w:val="24"/>
        </w:rPr>
      </w:pPr>
    </w:p>
    <w:sectPr w:rsidR="00264BC0" w:rsidRPr="008A4DF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A4DFB"/>
    <w:rsid w:val="00863917"/>
    <w:rsid w:val="008A4DFB"/>
    <w:rsid w:val="00A54558"/>
    <w:rsid w:val="00CC26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E1981DB-9853-4D02-9D00-2A99CBE6BD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8A4DFB"/>
    <w:pPr>
      <w:keepNext/>
      <w:keepLines/>
      <w:spacing w:before="200" w:after="0" w:line="276" w:lineRule="auto"/>
      <w:outlineLvl w:val="1"/>
    </w:pPr>
    <w:rPr>
      <w:rFonts w:asciiTheme="majorHAnsi" w:eastAsiaTheme="majorEastAsia" w:hAnsiTheme="majorHAnsi" w:cstheme="majorBidi"/>
      <w:b/>
      <w:bCs/>
      <w:color w:val="5B9BD5" w:themeColor="accent1"/>
      <w:sz w:val="26"/>
      <w:szCs w:val="2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8A4DFB"/>
    <w:rPr>
      <w:rFonts w:asciiTheme="majorHAnsi" w:eastAsiaTheme="majorEastAsia" w:hAnsiTheme="majorHAnsi" w:cstheme="majorBidi"/>
      <w:b/>
      <w:bCs/>
      <w:color w:val="5B9BD5" w:themeColor="accent1"/>
      <w:sz w:val="26"/>
      <w:szCs w:val="26"/>
      <w:lang w:val="en-US"/>
    </w:rPr>
  </w:style>
  <w:style w:type="paragraph" w:styleId="Title">
    <w:name w:val="Title"/>
    <w:basedOn w:val="Normal"/>
    <w:next w:val="Normal"/>
    <w:link w:val="TitleChar"/>
    <w:uiPriority w:val="10"/>
    <w:qFormat/>
    <w:rsid w:val="008A4DF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val="en-US"/>
    </w:rPr>
  </w:style>
  <w:style w:type="character" w:customStyle="1" w:styleId="TitleChar">
    <w:name w:val="Title Char"/>
    <w:basedOn w:val="DefaultParagraphFont"/>
    <w:link w:val="Title"/>
    <w:uiPriority w:val="10"/>
    <w:rsid w:val="008A4DFB"/>
    <w:rPr>
      <w:rFonts w:asciiTheme="majorHAnsi" w:eastAsiaTheme="majorEastAsia" w:hAnsiTheme="majorHAnsi" w:cstheme="majorBidi"/>
      <w:color w:val="323E4F" w:themeColor="text2" w:themeShade="BF"/>
      <w:spacing w:val="5"/>
      <w:kern w:val="28"/>
      <w:sz w:val="52"/>
      <w:szCs w:val="5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1712</Words>
  <Characters>9763</Characters>
  <Application>Microsoft Office Word</Application>
  <DocSecurity>0</DocSecurity>
  <Lines>81</Lines>
  <Paragraphs>22</Paragraphs>
  <ScaleCrop>false</ScaleCrop>
  <Company/>
  <LinksUpToDate>false</LinksUpToDate>
  <CharactersWithSpaces>11453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Aditya Shukla</dc:creator>
  <cp:keywords/>
  <dc:description/>
  <cp:lastModifiedBy>Aditya Shukla</cp:lastModifiedBy>
  <cp:revision>2</cp:revision>
  <dcterms:created xsi:type="dcterms:W3CDTF">2026-02-18T03:21:00Z</dcterms:created>
  <dcterms:modified xsi:type="dcterms:W3CDTF">2026-02-18T03:27:00Z</dcterms:modified>
</cp:coreProperties>
</file>