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jc w:val="center"/>
      </w:pPr>
      <w:r>
        <w:rPr>
          <w:b/>
          <w:i w:val="0"/>
          <w:sz w:val="72"/>
        </w:rPr>
        <w:t>O.A.S.I.S.</w:t>
      </w:r>
    </w:p>
    <w:p>
      <w:pPr>
        <w:spacing w:after="40"/>
        <w:jc w:val="center"/>
      </w:pPr>
      <w:r>
        <w:rPr>
          <w:b/>
          <w:i w:val="0"/>
          <w:color w:val="2C3E50"/>
          <w:sz w:val="40"/>
        </w:rPr>
        <w:t>Client Implementation Playbook</w:t>
      </w:r>
    </w:p>
    <w:p>
      <w:pPr>
        <w:spacing w:after="600"/>
        <w:jc w:val="center"/>
      </w:pPr>
      <w:r>
        <w:rPr>
          <w:b w:val="0"/>
          <w:i/>
          <w:color w:val="7F8C8D"/>
          <w:sz w:val="28"/>
        </w:rPr>
        <w:t>From First Contact to Full Autonomous Replenishment</w:t>
      </w:r>
    </w:p>
    <w:p>
      <w:pPr>
        <w:spacing w:after="120"/>
        <w:jc w:val="center"/>
      </w:pPr>
      <w:r>
        <w:rPr>
          <w:b/>
          <w:i w:val="0"/>
          <w:color w:val="CC0000"/>
          <w:sz w:val="24"/>
        </w:rPr>
        <w:t>INTERNAL - iLink Operations</w:t>
      </w:r>
    </w:p>
    <w:p>
      <w:r>
        <w:br w:type="page"/>
      </w:r>
    </w:p>
    <w:p>
      <w:pPr>
        <w:pStyle w:val="Heading1"/>
      </w:pPr>
      <w:r>
        <w:t>Table of Contents</w:t>
      </w:r>
    </w:p>
    <w:p>
      <w:pPr>
        <w:spacing w:after="60"/>
      </w:pPr>
      <w:r>
        <w:rPr>
          <w:b w:val="0"/>
          <w:i w:val="0"/>
          <w:sz w:val="22"/>
        </w:rPr>
        <w:t>Phase 0: Prospecting &amp; First Contact</w:t>
      </w:r>
    </w:p>
    <w:p>
      <w:pPr>
        <w:spacing w:after="60"/>
      </w:pPr>
      <w:r>
        <w:rPr>
          <w:b w:val="0"/>
          <w:i w:val="0"/>
          <w:sz w:val="22"/>
        </w:rPr>
        <w:t>Phase 1: The Forensic Audit (The Free Diagnosis)</w:t>
      </w:r>
    </w:p>
    <w:p>
      <w:pPr>
        <w:spacing w:after="60"/>
      </w:pPr>
      <w:r>
        <w:rPr>
          <w:b w:val="0"/>
          <w:i w:val="0"/>
          <w:sz w:val="22"/>
        </w:rPr>
        <w:t>Phase 2: API Hook &amp; Shadow Mode</w:t>
      </w:r>
    </w:p>
    <w:p>
      <w:pPr>
        <w:spacing w:after="60"/>
      </w:pPr>
      <w:r>
        <w:rPr>
          <w:b w:val="0"/>
          <w:i w:val="0"/>
          <w:sz w:val="22"/>
        </w:rPr>
        <w:t>Phase 3: The AMIT Flush (Dead Stock Liquidation)</w:t>
      </w:r>
    </w:p>
    <w:p>
      <w:pPr>
        <w:spacing w:after="60"/>
      </w:pPr>
      <w:r>
        <w:rPr>
          <w:b w:val="0"/>
          <w:i w:val="0"/>
          <w:sz w:val="22"/>
        </w:rPr>
        <w:t>Phase 4: High-Velocity Hyper-Funding (DHARAM)</w:t>
      </w:r>
    </w:p>
    <w:p>
      <w:pPr>
        <w:spacing w:after="60"/>
      </w:pPr>
      <w:r>
        <w:rPr>
          <w:b w:val="0"/>
          <w:i w:val="0"/>
          <w:sz w:val="22"/>
        </w:rPr>
        <w:t>Phase 5: Supplier Shield Activation (LATA)</w:t>
      </w:r>
    </w:p>
    <w:p>
      <w:pPr>
        <w:spacing w:after="60"/>
      </w:pPr>
      <w:r>
        <w:rPr>
          <w:b w:val="0"/>
          <w:i w:val="0"/>
          <w:sz w:val="22"/>
        </w:rPr>
        <w:t>Phase 6: Full Autonomous Ordering (MANDE)</w:t>
      </w:r>
    </w:p>
    <w:p>
      <w:pPr>
        <w:spacing w:after="60"/>
      </w:pPr>
      <w:r>
        <w:rPr>
          <w:b w:val="0"/>
          <w:i w:val="0"/>
          <w:sz w:val="22"/>
        </w:rPr>
        <w:t>Post-Implementation: Ongoing Value</w:t>
      </w:r>
    </w:p>
    <w:p>
      <w:pPr>
        <w:spacing w:after="60"/>
      </w:pPr>
      <w:r>
        <w:rPr>
          <w:b w:val="0"/>
          <w:i w:val="0"/>
          <w:sz w:val="22"/>
        </w:rPr>
        <w:t>Appendix: Data Requirements Reference</w:t>
      </w:r>
    </w:p>
    <w:p>
      <w:r>
        <w:br w:type="page"/>
      </w:r>
    </w:p>
    <w:p>
      <w:pPr>
        <w:pStyle w:val="Heading1"/>
      </w:pPr>
      <w:r>
        <w:t>Phase 0: Prospecting &amp; First Contact</w:t>
      </w:r>
    </w:p>
    <w:p>
      <w:pPr>
        <w:spacing w:after="120"/>
      </w:pPr>
      <w:r>
        <w:rPr>
          <w:b w:val="0"/>
          <w:i/>
          <w:color w:val="7F8C8D"/>
          <w:sz w:val="22"/>
        </w:rPr>
        <w:t>Timeline: Day 0</w:t>
      </w:r>
    </w:p>
    <w:p>
      <w:pPr>
        <w:pStyle w:val="Heading2"/>
      </w:pPr>
      <w:r>
        <w:t>Objective</w:t>
      </w:r>
    </w:p>
    <w:p>
      <w:r>
        <w:t>Identify a retail operation likely hemorrhaging working capital due to manual procurement, and secure agreement to receive a free forensic audit.</w:t>
      </w:r>
    </w:p>
    <w:p>
      <w:pPr>
        <w:pStyle w:val="Heading2"/>
      </w:pPr>
      <w:r>
        <w:t>The Hook</w:t>
      </w:r>
    </w:p>
    <w:p>
      <w:pPr>
        <w:pStyle w:val="IntenseQuote"/>
      </w:pPr>
      <w:r>
        <w:t>"We would like to run a free, no-obligation operations audit on your store. We will take your raw sales and purchasing data, run it through our forensic engine, and show you exactly how much money your operation is losing to dead stock, supplier inconsistency, and logistics friction. The audit takes 24 hours. You lose nothing. You keep the report regardless."</w:t>
      </w:r>
    </w:p>
    <w:p>
      <w:pPr>
        <w:pStyle w:val="Heading2"/>
      </w:pPr>
      <w:r>
        <w:t>Data Request</w:t>
      </w:r>
    </w:p>
    <w:p>
      <w:r>
        <w:t>Upon agreement, formally request the following raw data exports: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Data Category</w:t>
            </w:r>
          </w:p>
        </w:tc>
        <w:tc>
          <w:tcPr>
            <w:tcW w:type="dxa" w:w="2160"/>
          </w:tcPr>
          <w:p>
            <w:r>
              <w:rPr>
                <w:b/>
                <w:sz w:val="18"/>
              </w:rPr>
              <w:t>Required Fields</w:t>
            </w:r>
          </w:p>
        </w:tc>
        <w:tc>
          <w:tcPr>
            <w:tcW w:type="dxa" w:w="2160"/>
          </w:tcPr>
          <w:p>
            <w:r>
              <w:rPr>
                <w:b/>
                <w:sz w:val="18"/>
              </w:rPr>
              <w:t>Purpose</w:t>
            </w:r>
          </w:p>
        </w:tc>
      </w:tr>
      <w:tr>
        <w:tc>
          <w:tcPr>
            <w:tcW w:type="dxa" w:w="2160"/>
          </w:tcPr>
          <w:p>
            <w:r>
              <w:rPr>
                <w:sz w:val="18"/>
              </w:rPr>
              <w:t>1</w:t>
            </w:r>
          </w:p>
        </w:tc>
        <w:tc>
          <w:tcPr>
            <w:tcW w:type="dxa" w:w="2160"/>
          </w:tcPr>
          <w:p>
            <w:r>
              <w:rPr>
                <w:sz w:val="18"/>
              </w:rPr>
              <w:t>POS / Sales Log</w:t>
            </w:r>
          </w:p>
        </w:tc>
        <w:tc>
          <w:tcPr>
            <w:tcW w:type="dxa" w:w="2160"/>
          </w:tcPr>
          <w:p>
            <w:r>
              <w:rPr>
                <w:sz w:val="18"/>
              </w:rPr>
              <w:t>Item Name, Qty Sold, Date, Price (optional)</w:t>
            </w:r>
          </w:p>
        </w:tc>
        <w:tc>
          <w:tcPr>
            <w:tcW w:type="dxa" w:w="2160"/>
          </w:tcPr>
          <w:p>
            <w:r>
              <w:rPr>
                <w:sz w:val="18"/>
              </w:rPr>
              <w:t>Daily velocity &amp; dead stock detection</w:t>
            </w:r>
          </w:p>
        </w:tc>
      </w:tr>
      <w:tr>
        <w:tc>
          <w:tcPr>
            <w:tcW w:type="dxa" w:w="2160"/>
          </w:tcPr>
          <w:p>
            <w:r>
              <w:rPr>
                <w:sz w:val="18"/>
              </w:rPr>
              <w:t>2</w:t>
            </w:r>
          </w:p>
        </w:tc>
        <w:tc>
          <w:tcPr>
            <w:tcW w:type="dxa" w:w="2160"/>
          </w:tcPr>
          <w:p>
            <w:r>
              <w:rPr>
                <w:sz w:val="18"/>
              </w:rPr>
              <w:t>GRN / Inbound Log</w:t>
            </w:r>
          </w:p>
        </w:tc>
        <w:tc>
          <w:tcPr>
            <w:tcW w:type="dxa" w:w="2160"/>
          </w:tcPr>
          <w:p>
            <w:r>
              <w:rPr>
                <w:sz w:val="18"/>
              </w:rPr>
              <w:t>Supplier, Item, PO Qty, GRN Qty, Date</w:t>
            </w:r>
          </w:p>
        </w:tc>
        <w:tc>
          <w:tcPr>
            <w:tcW w:type="dxa" w:w="2160"/>
          </w:tcPr>
          <w:p>
            <w:r>
              <w:rPr>
                <w:sz w:val="18"/>
              </w:rPr>
              <w:t>Supplier fulfillment &amp; lead time variance</w:t>
            </w:r>
          </w:p>
        </w:tc>
      </w:tr>
      <w:tr>
        <w:tc>
          <w:tcPr>
            <w:tcW w:type="dxa" w:w="2160"/>
          </w:tcPr>
          <w:p>
            <w:r>
              <w:rPr>
                <w:sz w:val="18"/>
              </w:rPr>
              <w:t>3</w:t>
            </w:r>
          </w:p>
        </w:tc>
        <w:tc>
          <w:tcPr>
            <w:tcW w:type="dxa" w:w="2160"/>
          </w:tcPr>
          <w:p>
            <w:r>
              <w:rPr>
                <w:sz w:val="18"/>
              </w:rPr>
              <w:t>Returns (PRTS/GRTS)</w:t>
            </w:r>
          </w:p>
        </w:tc>
        <w:tc>
          <w:tcPr>
            <w:tcW w:type="dxa" w:w="2160"/>
          </w:tcPr>
          <w:p>
            <w:r>
              <w:rPr>
                <w:sz w:val="18"/>
              </w:rPr>
              <w:t>Item, Qty Adjusted, Reason, Net Amount</w:t>
            </w:r>
          </w:p>
        </w:tc>
        <w:tc>
          <w:tcPr>
            <w:tcW w:type="dxa" w:w="2160"/>
          </w:tcPr>
          <w:p>
            <w:r>
              <w:rPr>
                <w:sz w:val="18"/>
              </w:rPr>
              <w:t>Spoilage &amp; wastage quantification</w:t>
            </w:r>
          </w:p>
        </w:tc>
      </w:tr>
      <w:tr>
        <w:tc>
          <w:tcPr>
            <w:tcW w:type="dxa" w:w="2160"/>
          </w:tcPr>
          <w:p>
            <w:r>
              <w:rPr>
                <w:sz w:val="18"/>
              </w:rPr>
              <w:t>4</w:t>
            </w:r>
          </w:p>
        </w:tc>
        <w:tc>
          <w:tcPr>
            <w:tcW w:type="dxa" w:w="2160"/>
          </w:tcPr>
          <w:p>
            <w:r>
              <w:rPr>
                <w:sz w:val="18"/>
              </w:rPr>
              <w:t>Branch Transfers</w:t>
            </w:r>
          </w:p>
        </w:tc>
        <w:tc>
          <w:tcPr>
            <w:tcW w:type="dxa" w:w="2160"/>
          </w:tcPr>
          <w:p>
            <w:r>
              <w:rPr>
                <w:sz w:val="18"/>
              </w:rPr>
              <w:t>From Branch, To Branch, Item, Qty, Cost</w:t>
            </w:r>
          </w:p>
        </w:tc>
        <w:tc>
          <w:tcPr>
            <w:tcW w:type="dxa" w:w="2160"/>
          </w:tcPr>
          <w:p>
            <w:r>
              <w:rPr>
                <w:sz w:val="18"/>
              </w:rPr>
              <w:t>Allocation failure measurement</w:t>
            </w:r>
          </w:p>
        </w:tc>
      </w:tr>
      <w:tr>
        <w:tc>
          <w:tcPr>
            <w:tcW w:type="dxa" w:w="2160"/>
          </w:tcPr>
          <w:p>
            <w:r>
              <w:rPr>
                <w:sz w:val="18"/>
              </w:rPr>
              <w:t>5</w:t>
            </w:r>
          </w:p>
        </w:tc>
        <w:tc>
          <w:tcPr>
            <w:tcW w:type="dxa" w:w="2160"/>
          </w:tcPr>
          <w:p>
            <w:r>
              <w:rPr>
                <w:sz w:val="18"/>
              </w:rPr>
              <w:t>Stock Snapshot (Optional)</w:t>
            </w:r>
          </w:p>
        </w:tc>
        <w:tc>
          <w:tcPr>
            <w:tcW w:type="dxa" w:w="2160"/>
          </w:tcPr>
          <w:p>
            <w:r>
              <w:rPr>
                <w:sz w:val="18"/>
              </w:rPr>
              <w:t>Item, Current Qty, Cost Price</w:t>
            </w:r>
          </w:p>
        </w:tc>
        <w:tc>
          <w:tcPr>
            <w:tcW w:type="dxa" w:w="2160"/>
          </w:tcPr>
          <w:p>
            <w:r>
              <w:rPr>
                <w:sz w:val="18"/>
              </w:rPr>
              <w:t>Current stockout/overstock identification</w:t>
            </w:r>
          </w:p>
        </w:tc>
      </w:tr>
    </w:tbl>
    <w:p/>
    <w:p>
      <w:pPr>
        <w:pStyle w:val="Heading2"/>
      </w:pPr>
      <w:r>
        <w:t>Decision Gate</w:t>
      </w:r>
    </w:p>
    <w:p>
      <w:pPr>
        <w:spacing w:after="120"/>
      </w:pPr>
      <w:r>
        <w:rPr>
          <w:b/>
          <w:i w:val="0"/>
          <w:sz w:val="22"/>
        </w:rPr>
        <w:t>Data received. Proceed once at least POS and GRN logs are in hand.</w:t>
      </w:r>
    </w:p>
    <w:p>
      <w:r>
        <w:br w:type="page"/>
      </w:r>
    </w:p>
    <w:p>
      <w:pPr>
        <w:pStyle w:val="Heading1"/>
      </w:pPr>
      <w:r>
        <w:t>Phase 1: The Forensic Audit (The Free Diagnosis)</w:t>
      </w:r>
    </w:p>
    <w:p>
      <w:pPr>
        <w:spacing w:after="120"/>
      </w:pPr>
      <w:r>
        <w:rPr>
          <w:b w:val="0"/>
          <w:i/>
          <w:color w:val="7F8C8D"/>
          <w:sz w:val="22"/>
        </w:rPr>
        <w:t>Timeline: 24-48 Hours After Data Receipt</w:t>
      </w:r>
    </w:p>
    <w:p>
      <w:pPr>
        <w:pStyle w:val="Heading2"/>
      </w:pPr>
      <w:r>
        <w:t>Objective</w:t>
      </w:r>
    </w:p>
    <w:p>
      <w:r>
        <w:t>Ingest the prospect's raw data, execute the full O.A.S.I.S. forensic engine, and produce a consulting-grade report quantifying total revenue bleed.</w:t>
      </w:r>
    </w:p>
    <w:p>
      <w:pPr>
        <w:pStyle w:val="Heading2"/>
      </w:pPr>
      <w:r>
        <w:t>Engine Execution Methodology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Engine</w:t>
            </w:r>
          </w:p>
        </w:tc>
        <w:tc>
          <w:tcPr>
            <w:tcW w:type="dxa" w:w="2160"/>
          </w:tcPr>
          <w:p>
            <w:r>
              <w:rPr>
                <w:b/>
                <w:sz w:val="18"/>
              </w:rPr>
              <w:t>Detection Rule</w:t>
            </w:r>
          </w:p>
        </w:tc>
        <w:tc>
          <w:tcPr>
            <w:tcW w:type="dxa" w:w="2160"/>
          </w:tcPr>
          <w:p>
            <w:r>
              <w:rPr>
                <w:b/>
                <w:sz w:val="18"/>
              </w:rPr>
              <w:t>What It Finds</w:t>
            </w:r>
          </w:p>
        </w:tc>
        <w:tc>
          <w:tcPr>
            <w:tcW w:type="dxa" w:w="2160"/>
          </w:tcPr>
          <w:p>
            <w:r>
              <w:rPr>
                <w:b/>
                <w:sz w:val="18"/>
              </w:rPr>
              <w:t>Metric Produced</w:t>
            </w:r>
          </w:p>
        </w:tc>
      </w:tr>
      <w:tr>
        <w:tc>
          <w:tcPr>
            <w:tcW w:type="dxa" w:w="2160"/>
          </w:tcPr>
          <w:p>
            <w:r>
              <w:rPr>
                <w:sz w:val="18"/>
              </w:rPr>
              <w:t>AMIT</w:t>
            </w:r>
          </w:p>
        </w:tc>
        <w:tc>
          <w:tcPr>
            <w:tcW w:type="dxa" w:w="2160"/>
          </w:tcPr>
          <w:p>
            <w:r>
              <w:rPr>
                <w:sz w:val="18"/>
              </w:rPr>
              <w:t>ADS &lt; 0.2 units/day AND SOH &gt; 15 units</w:t>
            </w:r>
          </w:p>
        </w:tc>
        <w:tc>
          <w:tcPr>
            <w:tcW w:type="dxa" w:w="2160"/>
          </w:tcPr>
          <w:p>
            <w:r>
              <w:rPr>
                <w:sz w:val="18"/>
              </w:rPr>
              <w:t>Dead stock trapping working capital</w:t>
            </w:r>
          </w:p>
        </w:tc>
        <w:tc>
          <w:tcPr>
            <w:tcW w:type="dxa" w:w="2160"/>
          </w:tcPr>
          <w:p>
            <w:r>
              <w:rPr>
                <w:sz w:val="18"/>
              </w:rPr>
              <w:t>KES trapped per item</w:t>
            </w:r>
          </w:p>
        </w:tc>
      </w:tr>
      <w:tr>
        <w:tc>
          <w:tcPr>
            <w:tcW w:type="dxa" w:w="2160"/>
          </w:tcPr>
          <w:p>
            <w:r>
              <w:rPr>
                <w:sz w:val="18"/>
              </w:rPr>
              <w:t>DHARAM</w:t>
            </w:r>
          </w:p>
        </w:tc>
        <w:tc>
          <w:tcPr>
            <w:tcW w:type="dxa" w:w="2160"/>
          </w:tcPr>
          <w:p>
            <w:r>
              <w:rPr>
                <w:sz w:val="18"/>
              </w:rPr>
              <w:t>ADS &gt; 2.0 units/day AND SOH = 0</w:t>
            </w:r>
          </w:p>
        </w:tc>
        <w:tc>
          <w:tcPr>
            <w:tcW w:type="dxa" w:w="2160"/>
          </w:tcPr>
          <w:p>
            <w:r>
              <w:rPr>
                <w:sz w:val="18"/>
              </w:rPr>
              <w:t>Fast movers out of stock</w:t>
            </w:r>
          </w:p>
        </w:tc>
        <w:tc>
          <w:tcPr>
            <w:tcW w:type="dxa" w:w="2160"/>
          </w:tcPr>
          <w:p>
            <w:r>
              <w:rPr>
                <w:sz w:val="18"/>
              </w:rPr>
              <w:t>KES lost revenue (14-day projection)</w:t>
            </w:r>
          </w:p>
        </w:tc>
      </w:tr>
      <w:tr>
        <w:tc>
          <w:tcPr>
            <w:tcW w:type="dxa" w:w="2160"/>
          </w:tcPr>
          <w:p>
            <w:r>
              <w:rPr>
                <w:sz w:val="18"/>
              </w:rPr>
              <w:t>LATA</w:t>
            </w:r>
          </w:p>
        </w:tc>
        <w:tc>
          <w:tcPr>
            <w:tcW w:type="dxa" w:w="2160"/>
          </w:tcPr>
          <w:p>
            <w:r>
              <w:rPr>
                <w:sz w:val="18"/>
              </w:rPr>
              <w:t>Fulfillment &lt; 85% OR Lead Var &gt; 3 days SD</w:t>
            </w:r>
          </w:p>
        </w:tc>
        <w:tc>
          <w:tcPr>
            <w:tcW w:type="dxa" w:w="2160"/>
          </w:tcPr>
          <w:p>
            <w:r>
              <w:rPr>
                <w:sz w:val="18"/>
              </w:rPr>
              <w:t>Hostile/unreliable suppliers</w:t>
            </w:r>
          </w:p>
        </w:tc>
        <w:tc>
          <w:tcPr>
            <w:tcW w:type="dxa" w:w="2160"/>
          </w:tcPr>
          <w:p>
            <w:r>
              <w:rPr>
                <w:sz w:val="18"/>
              </w:rPr>
              <w:t>Fulfillment % and variance per vendor</w:t>
            </w:r>
          </w:p>
        </w:tc>
      </w:tr>
      <w:tr>
        <w:tc>
          <w:tcPr>
            <w:tcW w:type="dxa" w:w="2160"/>
          </w:tcPr>
          <w:p>
            <w:r>
              <w:rPr>
                <w:sz w:val="18"/>
              </w:rPr>
              <w:t>MANDE</w:t>
            </w:r>
          </w:p>
        </w:tc>
        <w:tc>
          <w:tcPr>
            <w:tcW w:type="dxa" w:w="2160"/>
          </w:tcPr>
          <w:p>
            <w:r>
              <w:rPr>
                <w:sz w:val="18"/>
              </w:rPr>
              <w:t>Sum of Net Amount from PRTS + STI docs</w:t>
            </w:r>
          </w:p>
        </w:tc>
        <w:tc>
          <w:tcPr>
            <w:tcW w:type="dxa" w:w="2160"/>
          </w:tcPr>
          <w:p>
            <w:r>
              <w:rPr>
                <w:sz w:val="18"/>
              </w:rPr>
              <w:t>Returns and transfer costs</w:t>
            </w:r>
          </w:p>
        </w:tc>
        <w:tc>
          <w:tcPr>
            <w:tcW w:type="dxa" w:w="2160"/>
          </w:tcPr>
          <w:p>
            <w:r>
              <w:rPr>
                <w:sz w:val="18"/>
              </w:rPr>
              <w:t>Total KES network entropy</w:t>
            </w:r>
          </w:p>
        </w:tc>
      </w:tr>
    </w:tbl>
    <w:p/>
    <w:p>
      <w:pPr>
        <w:pStyle w:val="Heading2"/>
      </w:pPr>
      <w:r>
        <w:t>Deliverables</w:t>
      </w:r>
    </w:p>
    <w:p>
      <w:pPr>
        <w:pStyle w:val="ListBullet"/>
      </w:pPr>
      <w:r>
        <w:t>Executive Summary Word Document (OASIS_Executive_Diagnostic.docx)</w:t>
      </w:r>
    </w:p>
    <w:p>
      <w:pPr>
        <w:pStyle w:val="ListBullet"/>
      </w:pPr>
      <w:r>
        <w:t>Raw Forensic Data Excel (OASIS_Forensic_Audit_Data.xlsx)</w:t>
      </w:r>
    </w:p>
    <w:p>
      <w:pPr>
        <w:pStyle w:val="ListBullet"/>
      </w:pPr>
      <w:r>
        <w:t>Live Streamlit dashboard presentation (45-min meeting)</w:t>
      </w:r>
    </w:p>
    <w:p>
      <w:pPr>
        <w:pStyle w:val="Heading2"/>
      </w:pPr>
      <w:r>
        <w:t>The Pitch Close</w:t>
      </w:r>
    </w:p>
    <w:p>
      <w:pPr>
        <w:pStyle w:val="IntenseQuote"/>
      </w:pPr>
      <w:r>
        <w:t>"This is what your business looks like under a microscope. These are not opinions. These are mathematical facts extracted from your own data. The question is: do you want to keep bleeding, or do you want us to fix it?"</w:t>
      </w:r>
    </w:p>
    <w:p>
      <w:pPr>
        <w:pStyle w:val="Heading2"/>
      </w:pPr>
      <w:r>
        <w:t>Decision Gate</w:t>
      </w:r>
    </w:p>
    <w:p>
      <w:pPr>
        <w:spacing w:after="120"/>
      </w:pPr>
      <w:r>
        <w:rPr>
          <w:b/>
          <w:i w:val="0"/>
          <w:sz w:val="22"/>
        </w:rPr>
        <w:t>Client signs contract. Proceed to Shadow Mode.</w:t>
      </w:r>
    </w:p>
    <w:p>
      <w:r>
        <w:br w:type="page"/>
      </w:r>
    </w:p>
    <w:p>
      <w:pPr>
        <w:pStyle w:val="Heading1"/>
      </w:pPr>
      <w:r>
        <w:t>Phase 2: API Hook &amp; Shadow Mode</w:t>
      </w:r>
    </w:p>
    <w:p>
      <w:pPr>
        <w:spacing w:after="120"/>
      </w:pPr>
      <w:r>
        <w:rPr>
          <w:b w:val="0"/>
          <w:i/>
          <w:color w:val="7F8C8D"/>
          <w:sz w:val="22"/>
        </w:rPr>
        <w:t>Timeline: Weeks 1-2 After Contract</w:t>
      </w:r>
    </w:p>
    <w:p>
      <w:pPr>
        <w:pStyle w:val="Heading2"/>
      </w:pPr>
      <w:r>
        <w:t>Objective</w:t>
      </w:r>
    </w:p>
    <w:p>
      <w:r>
        <w:t>Connect O.A.S.I.S. to the client's live ERP/POS system. Run in Shadow Mode: generate daily POs internally without sending them to suppliers, while the human buyers continue ordering normally.</w:t>
      </w:r>
    </w:p>
    <w:p>
      <w:pPr>
        <w:pStyle w:val="Heading2"/>
      </w:pPr>
      <w:r>
        <w:t>Process</w:t>
      </w:r>
    </w:p>
    <w:p>
      <w:pPr>
        <w:pStyle w:val="ListNumber"/>
      </w:pPr>
      <w:r>
        <w:t>Establish automated daily data pull from client ERP (SQL, API, or SFTP).</w:t>
      </w:r>
    </w:p>
    <w:p>
      <w:pPr>
        <w:pStyle w:val="ListNumber"/>
      </w:pPr>
      <w:r>
        <w:t>O.A.S.I.S. generates daily Shadow POs. These are NOT sent to suppliers.</w:t>
      </w:r>
    </w:p>
    <w:p>
      <w:pPr>
        <w:pStyle w:val="ListNumber"/>
      </w:pPr>
      <w:r>
        <w:t>Generate Daily Shadow Comparison: Human buyer orders vs. O.A.S.I.S. orders.</w:t>
      </w:r>
    </w:p>
    <w:p>
      <w:pPr>
        <w:pStyle w:val="ListNumber"/>
      </w:pPr>
      <w:r>
        <w:t>After 14 days, present aggregated Shadow Review to client executives.</w:t>
      </w:r>
    </w:p>
    <w:p>
      <w:pPr>
        <w:pStyle w:val="Heading2"/>
      </w:pPr>
      <w:r>
        <w:t>The Shadow Review Presentation</w:t>
      </w:r>
    </w:p>
    <w:p>
      <w:r>
        <w:t>Show the client the divergences: items the buyer over-ordered (future dead stock), items the buyer missed (future stockouts), hostile suppliers the buyer used without adjusting quantities. This builds absolute trust in the algorithm before it takes control.</w:t>
      </w:r>
    </w:p>
    <w:p>
      <w:pPr>
        <w:pStyle w:val="Heading2"/>
      </w:pPr>
      <w:r>
        <w:t>Decision Gate</w:t>
      </w:r>
    </w:p>
    <w:p>
      <w:pPr>
        <w:spacing w:after="120"/>
      </w:pPr>
      <w:r>
        <w:rPr>
          <w:b/>
          <w:i w:val="0"/>
          <w:sz w:val="22"/>
        </w:rPr>
        <w:t>Client approves transition from Shadow to Active Mode.</w:t>
      </w:r>
    </w:p>
    <w:p>
      <w:r>
        <w:br w:type="page"/>
      </w:r>
    </w:p>
    <w:p>
      <w:pPr>
        <w:pStyle w:val="Heading1"/>
      </w:pPr>
      <w:r>
        <w:t>Phase 3: The AMIT Flush (Dead Stock Liquidation)</w:t>
      </w:r>
    </w:p>
    <w:p>
      <w:pPr>
        <w:spacing w:after="120"/>
      </w:pPr>
      <w:r>
        <w:rPr>
          <w:b w:val="0"/>
          <w:i/>
          <w:color w:val="7F8C8D"/>
          <w:sz w:val="22"/>
        </w:rPr>
        <w:t>Timeline: Week 3</w:t>
      </w:r>
    </w:p>
    <w:p>
      <w:pPr>
        <w:pStyle w:val="Heading2"/>
      </w:pPr>
      <w:r>
        <w:t>Objective</w:t>
      </w:r>
    </w:p>
    <w:p>
      <w:r>
        <w:t>Before O.A.S.I.S. starts buying new stock, stop the bleeding. Activate the AMIT engine to systematically liquidate trapped capital in dormant inventory.</w:t>
      </w:r>
    </w:p>
    <w:p>
      <w:pPr>
        <w:pStyle w:val="Heading2"/>
      </w:pPr>
      <w:r>
        <w:t>Process</w:t>
      </w:r>
    </w:p>
    <w:p>
      <w:pPr>
        <w:pStyle w:val="ListNumber"/>
      </w:pPr>
      <w:r>
        <w:t>Generate the AMIT Negative List (all dead SKUs). Present for client sign-off.</w:t>
      </w:r>
    </w:p>
    <w:p>
      <w:pPr>
        <w:pStyle w:val="ListNumber"/>
      </w:pPr>
      <w:r>
        <w:t>Activate system-level purchase blocks on Negative List items.</w:t>
      </w:r>
    </w:p>
    <w:p>
      <w:pPr>
        <w:pStyle w:val="ListNumber"/>
      </w:pPr>
      <w:r>
        <w:t>Execute liquidation: promotional pricing, formal write-offs, or supplier returns (PRTS).</w:t>
      </w:r>
    </w:p>
    <w:p>
      <w:pPr>
        <w:pStyle w:val="ListNumber"/>
      </w:pPr>
      <w:r>
        <w:t>Track and report weekly Capital Recovery to client finance team.</w:t>
      </w:r>
    </w:p>
    <w:p>
      <w:pPr>
        <w:pStyle w:val="Heading2"/>
      </w:pPr>
      <w:r>
        <w:t>Decision Gate</w:t>
      </w:r>
    </w:p>
    <w:p>
      <w:pPr>
        <w:spacing w:after="120"/>
      </w:pPr>
      <w:r>
        <w:rPr>
          <w:b/>
          <w:i w:val="0"/>
          <w:sz w:val="22"/>
        </w:rPr>
        <w:t>Capital begins freeing up. Client authorizes active purchasing for fast movers.</w:t>
      </w:r>
    </w:p>
    <w:p>
      <w:r>
        <w:br w:type="page"/>
      </w:r>
    </w:p>
    <w:p>
      <w:pPr>
        <w:pStyle w:val="Heading1"/>
      </w:pPr>
      <w:r>
        <w:t>Phase 4: High-Velocity Hyper-Funding (DHARAM)</w:t>
      </w:r>
    </w:p>
    <w:p>
      <w:pPr>
        <w:spacing w:after="120"/>
      </w:pPr>
      <w:r>
        <w:rPr>
          <w:b w:val="0"/>
          <w:i/>
          <w:color w:val="7F8C8D"/>
          <w:sz w:val="22"/>
        </w:rPr>
        <w:t>Timeline: Weeks 4-6</w:t>
      </w:r>
    </w:p>
    <w:p>
      <w:pPr>
        <w:pStyle w:val="Heading2"/>
      </w:pPr>
      <w:r>
        <w:t>Objective</w:t>
      </w:r>
    </w:p>
    <w:p>
      <w:r>
        <w:t>Redirect freed capital into hyper-funding the top 20% fastest-moving SKUs (the Revenue Core). Ensure zero stockouts on items generating 80% of revenue.</w:t>
      </w:r>
    </w:p>
    <w:p>
      <w:pPr>
        <w:pStyle w:val="Heading2"/>
      </w:pPr>
      <w:r>
        <w:t>Order Quantity Formula</w:t>
      </w:r>
    </w:p>
    <w:p>
      <w:r>
        <w:t>Order Qty = (ADS x Lead Time Days) + Safety Stock - Current SOH - In-Transit Qty</w:t>
      </w:r>
    </w:p>
    <w:p>
      <w:r>
        <w:t>Safety Stock is dynamically calculated per item based on standard deviation of daily sales. POs are grouped by supplier and presented for daily one-click approval.</w:t>
      </w:r>
    </w:p>
    <w:p>
      <w:pPr>
        <w:pStyle w:val="Heading2"/>
      </w:pPr>
      <w:r>
        <w:t>Success Metric</w:t>
      </w:r>
    </w:p>
    <w:p>
      <w:pPr>
        <w:spacing w:after="120"/>
      </w:pPr>
      <w:r>
        <w:rPr>
          <w:b/>
          <w:i w:val="0"/>
          <w:sz w:val="22"/>
        </w:rPr>
        <w:t>Target: 0% stockout rate on Revenue Core items within 14 days of activation.</w:t>
      </w:r>
    </w:p>
    <w:p>
      <w:pPr>
        <w:pStyle w:val="Heading2"/>
      </w:pPr>
      <w:r>
        <w:t>Decision Gate</w:t>
      </w:r>
    </w:p>
    <w:p>
      <w:pPr>
        <w:spacing w:after="120"/>
      </w:pPr>
      <w:r>
        <w:rPr>
          <w:b/>
          <w:i w:val="0"/>
          <w:sz w:val="22"/>
        </w:rPr>
        <w:t>Revenue Core stockout rate hits 0%. Client authorizes full catalog expansion.</w:t>
      </w:r>
    </w:p>
    <w:p>
      <w:r>
        <w:br w:type="page"/>
      </w:r>
    </w:p>
    <w:p>
      <w:pPr>
        <w:pStyle w:val="Heading1"/>
      </w:pPr>
      <w:r>
        <w:t>Phase 5: Supplier Shield Activation (LATA)</w:t>
      </w:r>
    </w:p>
    <w:p>
      <w:pPr>
        <w:spacing w:after="120"/>
      </w:pPr>
      <w:r>
        <w:rPr>
          <w:b w:val="0"/>
          <w:i/>
          <w:color w:val="7F8C8D"/>
          <w:sz w:val="22"/>
        </w:rPr>
        <w:t>Timeline: Month 2</w:t>
      </w:r>
    </w:p>
    <w:p>
      <w:pPr>
        <w:pStyle w:val="Heading2"/>
      </w:pPr>
      <w:r>
        <w:t>Objective</w:t>
      </w:r>
    </w:p>
    <w:p>
      <w:r>
        <w:t>With the floor optimized, fix the supply chain. Activate the LATA engine to dynamically manage safety stock buffers per supplier based on their measured reliability.</w:t>
      </w:r>
    </w:p>
    <w:p>
      <w:pPr>
        <w:pStyle w:val="Heading2"/>
      </w:pPr>
      <w:r>
        <w:t>Safety Stock Multipliers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Supplier Classification</w:t>
            </w:r>
          </w:p>
        </w:tc>
        <w:tc>
          <w:tcPr>
            <w:tcW w:type="dxa" w:w="2880"/>
          </w:tcPr>
          <w:p>
            <w:r>
              <w:rPr>
                <w:b/>
                <w:sz w:val="18"/>
              </w:rPr>
              <w:t>Safety Stock Multiplier</w:t>
            </w:r>
          </w:p>
        </w:tc>
        <w:tc>
          <w:tcPr>
            <w:tcW w:type="dxa" w:w="2880"/>
          </w:tcPr>
          <w:p>
            <w:r>
              <w:rPr>
                <w:b/>
                <w:sz w:val="18"/>
              </w:rPr>
              <w:t>Logic</w:t>
            </w:r>
          </w:p>
        </w:tc>
      </w:tr>
      <w:tr>
        <w:tc>
          <w:tcPr>
            <w:tcW w:type="dxa" w:w="2880"/>
          </w:tcPr>
          <w:p>
            <w:r>
              <w:rPr>
                <w:sz w:val="18"/>
              </w:rPr>
              <w:t>RELIABLE (Green)</w:t>
            </w:r>
          </w:p>
        </w:tc>
        <w:tc>
          <w:tcPr>
            <w:tcW w:type="dxa" w:w="2880"/>
          </w:tcPr>
          <w:p>
            <w:r>
              <w:rPr>
                <w:sz w:val="18"/>
              </w:rPr>
              <w:t>1.2x</w:t>
            </w:r>
          </w:p>
        </w:tc>
        <w:tc>
          <w:tcPr>
            <w:tcW w:type="dxa" w:w="2880"/>
          </w:tcPr>
          <w:p>
            <w:r>
              <w:rPr>
                <w:sz w:val="18"/>
              </w:rPr>
              <w:t>Lean ordering. Minimal buffer required.</w:t>
            </w:r>
          </w:p>
        </w:tc>
      </w:tr>
      <w:tr>
        <w:tc>
          <w:tcPr>
            <w:tcW w:type="dxa" w:w="2880"/>
          </w:tcPr>
          <w:p>
            <w:r>
              <w:rPr>
                <w:sz w:val="18"/>
              </w:rPr>
              <w:t>WATCH (Yellow)</w:t>
            </w:r>
          </w:p>
        </w:tc>
        <w:tc>
          <w:tcPr>
            <w:tcW w:type="dxa" w:w="2880"/>
          </w:tcPr>
          <w:p>
            <w:r>
              <w:rPr>
                <w:sz w:val="18"/>
              </w:rPr>
              <w:t>1.5x</w:t>
            </w:r>
          </w:p>
        </w:tc>
        <w:tc>
          <w:tcPr>
            <w:tcW w:type="dxa" w:w="2880"/>
          </w:tcPr>
          <w:p>
            <w:r>
              <w:rPr>
                <w:sz w:val="18"/>
              </w:rPr>
              <w:t>Moderate buffer for inconsistent delivery.</w:t>
            </w:r>
          </w:p>
        </w:tc>
      </w:tr>
      <w:tr>
        <w:tc>
          <w:tcPr>
            <w:tcW w:type="dxa" w:w="2880"/>
          </w:tcPr>
          <w:p>
            <w:r>
              <w:rPr>
                <w:sz w:val="18"/>
              </w:rPr>
              <w:t>HOSTILE (Red)</w:t>
            </w:r>
          </w:p>
        </w:tc>
        <w:tc>
          <w:tcPr>
            <w:tcW w:type="dxa" w:w="2880"/>
          </w:tcPr>
          <w:p>
            <w:r>
              <w:rPr>
                <w:sz w:val="18"/>
              </w:rPr>
              <w:t>2.0x+</w:t>
            </w:r>
          </w:p>
        </w:tc>
        <w:tc>
          <w:tcPr>
            <w:tcW w:type="dxa" w:w="2880"/>
          </w:tcPr>
          <w:p>
            <w:r>
              <w:rPr>
                <w:sz w:val="18"/>
              </w:rPr>
              <w:t>Aggressive buffer to protect shelf from short-ships.</w:t>
            </w:r>
          </w:p>
        </w:tc>
      </w:tr>
    </w:tbl>
    <w:p/>
    <w:p>
      <w:pPr>
        <w:pStyle w:val="Heading2"/>
      </w:pPr>
      <w:r>
        <w:t>Decision Gate</w:t>
      </w:r>
    </w:p>
    <w:p>
      <w:pPr>
        <w:spacing w:after="120"/>
      </w:pPr>
      <w:r>
        <w:rPr>
          <w:b/>
          <w:i w:val="0"/>
          <w:sz w:val="22"/>
        </w:rPr>
        <w:t>Safety stock dynamically managed. Shelf availability improves without capital inflation.</w:t>
      </w:r>
    </w:p>
    <w:p>
      <w:r>
        <w:br w:type="page"/>
      </w:r>
    </w:p>
    <w:p>
      <w:pPr>
        <w:pStyle w:val="Heading1"/>
      </w:pPr>
      <w:r>
        <w:t>Phase 6: Full Autonomous Ordering (MANDE)</w:t>
      </w:r>
    </w:p>
    <w:p>
      <w:pPr>
        <w:spacing w:after="120"/>
      </w:pPr>
      <w:r>
        <w:rPr>
          <w:b w:val="0"/>
          <w:i/>
          <w:color w:val="7F8C8D"/>
          <w:sz w:val="22"/>
        </w:rPr>
        <w:t>Timeline: Month 3</w:t>
      </w:r>
    </w:p>
    <w:p>
      <w:pPr>
        <w:pStyle w:val="Heading2"/>
      </w:pPr>
      <w:r>
        <w:t>Objective</w:t>
      </w:r>
    </w:p>
    <w:p>
      <w:r>
        <w:t>O.A.S.I.S. takes over 100% of the daily ordering cycle across all branches and all SKUs. The MANDE engine mathematically allocates inbound stock to each branch based on localized demand.</w:t>
      </w:r>
    </w:p>
    <w:p>
      <w:pPr>
        <w:pStyle w:val="Heading2"/>
      </w:pPr>
      <w:r>
        <w:t>Procurement Team Transition</w:t>
      </w:r>
    </w:p>
    <w:p>
      <w:r>
        <w:t>The buying team transitions from manual order creation to order approval. Their new workflow: Open dashboard, review auto-generated Daily Master PO, click Approve. Exception management only.</w:t>
      </w:r>
    </w:p>
    <w:p>
      <w:pPr>
        <w:pStyle w:val="Heading2"/>
      </w:pPr>
      <w:r>
        <w:t>Continuous Optimization</w:t>
      </w:r>
    </w:p>
    <w:p>
      <w:pPr>
        <w:pStyle w:val="ListBullet"/>
      </w:pPr>
      <w:r>
        <w:t>All engine parameters re-calculate daily based on latest POS and GRN data.</w:t>
      </w:r>
    </w:p>
    <w:p>
      <w:pPr>
        <w:pStyle w:val="ListBullet"/>
      </w:pPr>
      <w:r>
        <w:t>AMIT scan runs weekly, auto-adding newly dormant items to the Negative List.</w:t>
      </w:r>
    </w:p>
    <w:p>
      <w:pPr>
        <w:pStyle w:val="ListBullet"/>
      </w:pPr>
      <w:r>
        <w:t>LATA scan runs daily, adjusting supplier risk scores as new GRNs arrive.</w:t>
      </w:r>
    </w:p>
    <w:p>
      <w:pPr>
        <w:pStyle w:val="ListBullet"/>
      </w:pPr>
      <w:r>
        <w:t>Demand model improves with each cycle (15-25% more accurate after 90 days).</w:t>
      </w:r>
    </w:p>
    <w:p>
      <w:pPr>
        <w:pStyle w:val="Heading2"/>
      </w:pPr>
      <w:r>
        <w:t>Final Outcome</w:t>
      </w:r>
    </w:p>
    <w:p>
      <w:pPr>
        <w:spacing w:after="120"/>
      </w:pPr>
      <w:r>
        <w:rPr>
          <w:b/>
          <w:i w:val="0"/>
          <w:sz w:val="22"/>
        </w:rPr>
        <w:t>Lateral transfers approach zero. Stockouts &lt; 2%. Dead stock &lt; 5%. The operation is self-driving.</w:t>
      </w:r>
    </w:p>
    <w:p>
      <w:r>
        <w:br w:type="page"/>
      </w:r>
    </w:p>
    <w:p>
      <w:pPr>
        <w:pStyle w:val="Heading1"/>
      </w:pPr>
      <w:r>
        <w:t>Post-Implementation: Ongoing Value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Pre-O.A.S.I.S.</w:t>
            </w:r>
          </w:p>
        </w:tc>
        <w:tc>
          <w:tcPr>
            <w:tcW w:type="dxa" w:w="2880"/>
          </w:tcPr>
          <w:p>
            <w:r>
              <w:rPr>
                <w:b/>
                <w:sz w:val="18"/>
              </w:rPr>
              <w:t>Post-O.A.S.I.S. Target</w:t>
            </w:r>
          </w:p>
        </w:tc>
      </w:tr>
      <w:tr>
        <w:tc>
          <w:tcPr>
            <w:tcW w:type="dxa" w:w="2880"/>
          </w:tcPr>
          <w:p>
            <w:r>
              <w:rPr>
                <w:sz w:val="18"/>
              </w:rPr>
              <w:t>Dead Stock %</w:t>
            </w:r>
          </w:p>
        </w:tc>
        <w:tc>
          <w:tcPr>
            <w:tcW w:type="dxa" w:w="2880"/>
          </w:tcPr>
          <w:p>
            <w:r>
              <w:rPr>
                <w:sz w:val="18"/>
              </w:rPr>
              <w:t>30-50% of catalog</w:t>
            </w:r>
          </w:p>
        </w:tc>
        <w:tc>
          <w:tcPr>
            <w:tcW w:type="dxa" w:w="2880"/>
          </w:tcPr>
          <w:p>
            <w:r>
              <w:rPr>
                <w:sz w:val="18"/>
              </w:rPr>
              <w:t>&lt; 5%</w:t>
            </w:r>
          </w:p>
        </w:tc>
      </w:tr>
      <w:tr>
        <w:tc>
          <w:tcPr>
            <w:tcW w:type="dxa" w:w="2880"/>
          </w:tcPr>
          <w:p>
            <w:r>
              <w:rPr>
                <w:sz w:val="18"/>
              </w:rPr>
              <w:t>Stockout Rate (Fast Movers)</w:t>
            </w:r>
          </w:p>
        </w:tc>
        <w:tc>
          <w:tcPr>
            <w:tcW w:type="dxa" w:w="2880"/>
          </w:tcPr>
          <w:p>
            <w:r>
              <w:rPr>
                <w:sz w:val="18"/>
              </w:rPr>
              <w:t>10-20%</w:t>
            </w:r>
          </w:p>
        </w:tc>
        <w:tc>
          <w:tcPr>
            <w:tcW w:type="dxa" w:w="2880"/>
          </w:tcPr>
          <w:p>
            <w:r>
              <w:rPr>
                <w:sz w:val="18"/>
              </w:rPr>
              <w:t>&lt; 2%</w:t>
            </w:r>
          </w:p>
        </w:tc>
      </w:tr>
      <w:tr>
        <w:tc>
          <w:tcPr>
            <w:tcW w:type="dxa" w:w="2880"/>
          </w:tcPr>
          <w:p>
            <w:r>
              <w:rPr>
                <w:sz w:val="18"/>
              </w:rPr>
              <w:t>Capital Utilization</w:t>
            </w:r>
          </w:p>
        </w:tc>
        <w:tc>
          <w:tcPr>
            <w:tcW w:type="dxa" w:w="2880"/>
          </w:tcPr>
          <w:p>
            <w:r>
              <w:rPr>
                <w:sz w:val="18"/>
              </w:rPr>
              <w:t>50-70%</w:t>
            </w:r>
          </w:p>
        </w:tc>
        <w:tc>
          <w:tcPr>
            <w:tcW w:type="dxa" w:w="2880"/>
          </w:tcPr>
          <w:p>
            <w:r>
              <w:rPr>
                <w:sz w:val="18"/>
              </w:rPr>
              <w:t>&gt; 95%</w:t>
            </w:r>
          </w:p>
        </w:tc>
      </w:tr>
      <w:tr>
        <w:tc>
          <w:tcPr>
            <w:tcW w:type="dxa" w:w="2880"/>
          </w:tcPr>
          <w:p>
            <w:r>
              <w:rPr>
                <w:sz w:val="18"/>
              </w:rPr>
              <w:t>Supplier Fulfillment (Avg)</w:t>
            </w:r>
          </w:p>
        </w:tc>
        <w:tc>
          <w:tcPr>
            <w:tcW w:type="dxa" w:w="2880"/>
          </w:tcPr>
          <w:p>
            <w:r>
              <w:rPr>
                <w:sz w:val="18"/>
              </w:rPr>
              <w:t>Unmonitored</w:t>
            </w:r>
          </w:p>
        </w:tc>
        <w:tc>
          <w:tcPr>
            <w:tcW w:type="dxa" w:w="2880"/>
          </w:tcPr>
          <w:p>
            <w:r>
              <w:rPr>
                <w:sz w:val="18"/>
              </w:rPr>
              <w:t>&gt; 85% enforced</w:t>
            </w:r>
          </w:p>
        </w:tc>
      </w:tr>
      <w:tr>
        <w:tc>
          <w:tcPr>
            <w:tcW w:type="dxa" w:w="2880"/>
          </w:tcPr>
          <w:p>
            <w:r>
              <w:rPr>
                <w:sz w:val="18"/>
              </w:rPr>
              <w:t>Lateral Transfers</w:t>
            </w:r>
          </w:p>
        </w:tc>
        <w:tc>
          <w:tcPr>
            <w:tcW w:type="dxa" w:w="2880"/>
          </w:tcPr>
          <w:p>
            <w:r>
              <w:rPr>
                <w:sz w:val="18"/>
              </w:rPr>
              <w:t>High (weekly)</w:t>
            </w:r>
          </w:p>
        </w:tc>
        <w:tc>
          <w:tcPr>
            <w:tcW w:type="dxa" w:w="2880"/>
          </w:tcPr>
          <w:p>
            <w:r>
              <w:rPr>
                <w:sz w:val="18"/>
              </w:rPr>
              <w:t>Near zero</w:t>
            </w:r>
          </w:p>
        </w:tc>
      </w:tr>
      <w:tr>
        <w:tc>
          <w:tcPr>
            <w:tcW w:type="dxa" w:w="2880"/>
          </w:tcPr>
          <w:p>
            <w:r>
              <w:rPr>
                <w:sz w:val="18"/>
              </w:rPr>
              <w:t>Procurement Team</w:t>
            </w:r>
          </w:p>
        </w:tc>
        <w:tc>
          <w:tcPr>
            <w:tcW w:type="dxa" w:w="2880"/>
          </w:tcPr>
          <w:p>
            <w:r>
              <w:rPr>
                <w:sz w:val="18"/>
              </w:rPr>
              <w:t>5-10 manual buyers</w:t>
            </w:r>
          </w:p>
        </w:tc>
        <w:tc>
          <w:tcPr>
            <w:tcW w:type="dxa" w:w="2880"/>
          </w:tcPr>
          <w:p>
            <w:r>
              <w:rPr>
                <w:sz w:val="18"/>
              </w:rPr>
              <w:t>1-2 approval managers</w:t>
            </w:r>
          </w:p>
        </w:tc>
      </w:tr>
      <w:tr>
        <w:tc>
          <w:tcPr>
            <w:tcW w:type="dxa" w:w="2880"/>
          </w:tcPr>
          <w:p>
            <w:r>
              <w:rPr>
                <w:sz w:val="18"/>
              </w:rPr>
              <w:t>Order Accuracy</w:t>
            </w:r>
          </w:p>
        </w:tc>
        <w:tc>
          <w:tcPr>
            <w:tcW w:type="dxa" w:w="2880"/>
          </w:tcPr>
          <w:p>
            <w:r>
              <w:rPr>
                <w:sz w:val="18"/>
              </w:rPr>
              <w:t>Human gut instinct</w:t>
            </w:r>
          </w:p>
        </w:tc>
        <w:tc>
          <w:tcPr>
            <w:tcW w:type="dxa" w:w="2880"/>
          </w:tcPr>
          <w:p>
            <w:r>
              <w:rPr>
                <w:sz w:val="18"/>
              </w:rPr>
              <w:t>Mathematical precision</w:t>
            </w:r>
          </w:p>
        </w:tc>
      </w:tr>
    </w:tbl>
    <w:p/>
    <w:p>
      <w:r>
        <w:br w:type="page"/>
      </w:r>
    </w:p>
    <w:p>
      <w:pPr>
        <w:pStyle w:val="Heading1"/>
      </w:pPr>
      <w:r>
        <w:t>Appendix: Timeline Summary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Week</w:t>
            </w:r>
          </w:p>
        </w:tc>
        <w:tc>
          <w:tcPr>
            <w:tcW w:type="dxa" w:w="2160"/>
          </w:tcPr>
          <w:p>
            <w:r>
              <w:rPr>
                <w:b/>
                <w:sz w:val="18"/>
              </w:rPr>
              <w:t>Phase</w:t>
            </w:r>
          </w:p>
        </w:tc>
        <w:tc>
          <w:tcPr>
            <w:tcW w:type="dxa" w:w="2160"/>
          </w:tcPr>
          <w:p>
            <w:r>
              <w:rPr>
                <w:b/>
                <w:sz w:val="18"/>
              </w:rPr>
              <w:t>Key Deliverable</w:t>
            </w:r>
          </w:p>
        </w:tc>
        <w:tc>
          <w:tcPr>
            <w:tcW w:type="dxa" w:w="2160"/>
          </w:tcPr>
          <w:p>
            <w:r>
              <w:rPr>
                <w:b/>
                <w:sz w:val="18"/>
              </w:rPr>
              <w:t>Decision Gate</w:t>
            </w:r>
          </w:p>
        </w:tc>
      </w:tr>
      <w:tr>
        <w:tc>
          <w:tcPr>
            <w:tcW w:type="dxa" w:w="2160"/>
          </w:tcPr>
          <w:p>
            <w:r>
              <w:rPr>
                <w:sz w:val="18"/>
              </w:rPr>
              <w:t>Day 0</w:t>
            </w:r>
          </w:p>
        </w:tc>
        <w:tc>
          <w:tcPr>
            <w:tcW w:type="dxa" w:w="2160"/>
          </w:tcPr>
          <w:p>
            <w:r>
              <w:rPr>
                <w:sz w:val="18"/>
              </w:rPr>
              <w:t>First Contact</w:t>
            </w:r>
          </w:p>
        </w:tc>
        <w:tc>
          <w:tcPr>
            <w:tcW w:type="dxa" w:w="2160"/>
          </w:tcPr>
          <w:p>
            <w:r>
              <w:rPr>
                <w:sz w:val="18"/>
              </w:rPr>
              <w:t>Data Request</w:t>
            </w:r>
          </w:p>
        </w:tc>
        <w:tc>
          <w:tcPr>
            <w:tcW w:type="dxa" w:w="2160"/>
          </w:tcPr>
          <w:p>
            <w:r>
              <w:rPr>
                <w:sz w:val="18"/>
              </w:rPr>
              <w:t>Data received</w:t>
            </w:r>
          </w:p>
        </w:tc>
      </w:tr>
      <w:tr>
        <w:tc>
          <w:tcPr>
            <w:tcW w:type="dxa" w:w="2160"/>
          </w:tcPr>
          <w:p>
            <w:r>
              <w:rPr>
                <w:sz w:val="18"/>
              </w:rPr>
              <w:t>Day 1-2</w:t>
            </w:r>
          </w:p>
        </w:tc>
        <w:tc>
          <w:tcPr>
            <w:tcW w:type="dxa" w:w="2160"/>
          </w:tcPr>
          <w:p>
            <w:r>
              <w:rPr>
                <w:sz w:val="18"/>
              </w:rPr>
              <w:t>Phase 1: Forensic Audit</w:t>
            </w:r>
          </w:p>
        </w:tc>
        <w:tc>
          <w:tcPr>
            <w:tcW w:type="dxa" w:w="2160"/>
          </w:tcPr>
          <w:p>
            <w:r>
              <w:rPr>
                <w:sz w:val="18"/>
              </w:rPr>
              <w:t>Word Report + Excel</w:t>
            </w:r>
          </w:p>
        </w:tc>
        <w:tc>
          <w:tcPr>
            <w:tcW w:type="dxa" w:w="2160"/>
          </w:tcPr>
          <w:p>
            <w:r>
              <w:rPr>
                <w:sz w:val="18"/>
              </w:rPr>
              <w:t>Contract signed</w:t>
            </w:r>
          </w:p>
        </w:tc>
      </w:tr>
      <w:tr>
        <w:tc>
          <w:tcPr>
            <w:tcW w:type="dxa" w:w="2160"/>
          </w:tcPr>
          <w:p>
            <w:r>
              <w:rPr>
                <w:sz w:val="18"/>
              </w:rPr>
              <w:t>Week 1-2</w:t>
            </w:r>
          </w:p>
        </w:tc>
        <w:tc>
          <w:tcPr>
            <w:tcW w:type="dxa" w:w="2160"/>
          </w:tcPr>
          <w:p>
            <w:r>
              <w:rPr>
                <w:sz w:val="18"/>
              </w:rPr>
              <w:t>Phase 2: Shadow Mode</w:t>
            </w:r>
          </w:p>
        </w:tc>
        <w:tc>
          <w:tcPr>
            <w:tcW w:type="dxa" w:w="2160"/>
          </w:tcPr>
          <w:p>
            <w:r>
              <w:rPr>
                <w:sz w:val="18"/>
              </w:rPr>
              <w:t>14-day comparison</w:t>
            </w:r>
          </w:p>
        </w:tc>
        <w:tc>
          <w:tcPr>
            <w:tcW w:type="dxa" w:w="2160"/>
          </w:tcPr>
          <w:p>
            <w:r>
              <w:rPr>
                <w:sz w:val="18"/>
              </w:rPr>
              <w:t>Active mode approved</w:t>
            </w:r>
          </w:p>
        </w:tc>
      </w:tr>
      <w:tr>
        <w:tc>
          <w:tcPr>
            <w:tcW w:type="dxa" w:w="2160"/>
          </w:tcPr>
          <w:p>
            <w:r>
              <w:rPr>
                <w:sz w:val="18"/>
              </w:rPr>
              <w:t>Week 3</w:t>
            </w:r>
          </w:p>
        </w:tc>
        <w:tc>
          <w:tcPr>
            <w:tcW w:type="dxa" w:w="2160"/>
          </w:tcPr>
          <w:p>
            <w:r>
              <w:rPr>
                <w:sz w:val="18"/>
              </w:rPr>
              <w:t>Phase 3: AMIT Flush</w:t>
            </w:r>
          </w:p>
        </w:tc>
        <w:tc>
          <w:tcPr>
            <w:tcW w:type="dxa" w:w="2160"/>
          </w:tcPr>
          <w:p>
            <w:r>
              <w:rPr>
                <w:sz w:val="18"/>
              </w:rPr>
              <w:t>Capital Recovery Reports</w:t>
            </w:r>
          </w:p>
        </w:tc>
        <w:tc>
          <w:tcPr>
            <w:tcW w:type="dxa" w:w="2160"/>
          </w:tcPr>
          <w:p>
            <w:r>
              <w:rPr>
                <w:sz w:val="18"/>
              </w:rPr>
              <w:t>Active purchasing authorized</w:t>
            </w:r>
          </w:p>
        </w:tc>
      </w:tr>
      <w:tr>
        <w:tc>
          <w:tcPr>
            <w:tcW w:type="dxa" w:w="2160"/>
          </w:tcPr>
          <w:p>
            <w:r>
              <w:rPr>
                <w:sz w:val="18"/>
              </w:rPr>
              <w:t>Week 4-6</w:t>
            </w:r>
          </w:p>
        </w:tc>
        <w:tc>
          <w:tcPr>
            <w:tcW w:type="dxa" w:w="2160"/>
          </w:tcPr>
          <w:p>
            <w:r>
              <w:rPr>
                <w:sz w:val="18"/>
              </w:rPr>
              <w:t>Phase 4: DHARAM</w:t>
            </w:r>
          </w:p>
        </w:tc>
        <w:tc>
          <w:tcPr>
            <w:tcW w:type="dxa" w:w="2160"/>
          </w:tcPr>
          <w:p>
            <w:r>
              <w:rPr>
                <w:sz w:val="18"/>
              </w:rPr>
              <w:t>Revenue Impact Reports</w:t>
            </w:r>
          </w:p>
        </w:tc>
        <w:tc>
          <w:tcPr>
            <w:tcW w:type="dxa" w:w="2160"/>
          </w:tcPr>
          <w:p>
            <w:r>
              <w:rPr>
                <w:sz w:val="18"/>
              </w:rPr>
              <w:t>Full catalog authorized</w:t>
            </w:r>
          </w:p>
        </w:tc>
      </w:tr>
      <w:tr>
        <w:tc>
          <w:tcPr>
            <w:tcW w:type="dxa" w:w="2160"/>
          </w:tcPr>
          <w:p>
            <w:r>
              <w:rPr>
                <w:sz w:val="18"/>
              </w:rPr>
              <w:t>Month 2</w:t>
            </w:r>
          </w:p>
        </w:tc>
        <w:tc>
          <w:tcPr>
            <w:tcW w:type="dxa" w:w="2160"/>
          </w:tcPr>
          <w:p>
            <w:r>
              <w:rPr>
                <w:sz w:val="18"/>
              </w:rPr>
              <w:t>Phase 5: LATA</w:t>
            </w:r>
          </w:p>
        </w:tc>
        <w:tc>
          <w:tcPr>
            <w:tcW w:type="dxa" w:w="2160"/>
          </w:tcPr>
          <w:p>
            <w:r>
              <w:rPr>
                <w:sz w:val="18"/>
              </w:rPr>
              <w:t>Supplier Scorecards</w:t>
            </w:r>
          </w:p>
        </w:tc>
        <w:tc>
          <w:tcPr>
            <w:tcW w:type="dxa" w:w="2160"/>
          </w:tcPr>
          <w:p>
            <w:r>
              <w:rPr>
                <w:sz w:val="18"/>
              </w:rPr>
              <w:t>Network optimization approved</w:t>
            </w:r>
          </w:p>
        </w:tc>
      </w:tr>
      <w:tr>
        <w:tc>
          <w:tcPr>
            <w:tcW w:type="dxa" w:w="2160"/>
          </w:tcPr>
          <w:p>
            <w:r>
              <w:rPr>
                <w:sz w:val="18"/>
              </w:rPr>
              <w:t>Month 3</w:t>
            </w:r>
          </w:p>
        </w:tc>
        <w:tc>
          <w:tcPr>
            <w:tcW w:type="dxa" w:w="2160"/>
          </w:tcPr>
          <w:p>
            <w:r>
              <w:rPr>
                <w:sz w:val="18"/>
              </w:rPr>
              <w:t>Phase 6: Full Autonomous</w:t>
            </w:r>
          </w:p>
        </w:tc>
        <w:tc>
          <w:tcPr>
            <w:tcW w:type="dxa" w:w="2160"/>
          </w:tcPr>
          <w:p>
            <w:r>
              <w:rPr>
                <w:sz w:val="18"/>
              </w:rPr>
              <w:t>Zero-touch procurement</w:t>
            </w:r>
          </w:p>
        </w:tc>
        <w:tc>
          <w:tcPr>
            <w:tcW w:type="dxa" w:w="2160"/>
          </w:tcPr>
          <w:p>
            <w:r>
              <w:rPr>
                <w:sz w:val="18"/>
              </w:rPr>
              <w:t>Self-driving operation</w:t>
            </w:r>
          </w:p>
        </w:tc>
      </w:tr>
    </w:tbl>
    <w:p/>
    <w:p>
      <w:pPr>
        <w:spacing w:after="120"/>
        <w:jc w:val="center"/>
      </w:pPr>
      <w:r>
        <w:rPr>
          <w:b/>
          <w:i w:val="0"/>
          <w:color w:val="7F8C8D"/>
          <w:sz w:val="24"/>
        </w:rPr>
        <w:t>END OF PLAYBOOK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