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STRATEGIC OPERATIONAL BREAKDOWN</w:t>
      </w:r>
    </w:p>
    <w:p>
      <w:pPr>
        <w:pStyle w:val="Heading1"/>
        <w:jc w:val="center"/>
      </w:pPr>
      <w:r>
        <w:t>WINE, BEER, &amp; SPIRITS SECTION</w:t>
      </w:r>
    </w:p>
    <w:p>
      <w:r>
        <w:t>Generated by O.A.S.I.S. Neural Intelligence Suite</w:t>
        <w:br/>
        <w:t>Date: April 2, 2026</w:t>
      </w:r>
    </w:p>
    <w:p>
      <w:r>
        <w:br/>
        <w:t>==================================================</w:t>
        <w:br/>
      </w:r>
    </w:p>
    <w:p>
      <w:pPr>
        <w:pStyle w:val="Heading1"/>
      </w:pPr>
      <w:r>
        <w:t>1. Executive Summary</w:t>
      </w:r>
    </w:p>
    <w:p>
      <w:r>
        <w:t>This report provides an interrogation of the Alcohol section based on the current O.A.S.I.S. neural network. The section is characterized by a high-revenue Beer sector with extreme velocity and a low-turnover, high-complexity Wine sector that represents significant inventory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SKU Count</w:t>
            </w:r>
          </w:p>
        </w:tc>
        <w:tc>
          <w:tcPr>
            <w:tcW w:type="dxa" w:w="2160"/>
          </w:tcPr>
          <w:p>
            <w:r>
              <w:t>Revenue (KES)</w:t>
            </w:r>
          </w:p>
        </w:tc>
        <w:tc>
          <w:tcPr>
            <w:tcW w:type="dxa" w:w="2160"/>
          </w:tcPr>
          <w:p>
            <w:r>
              <w:t>Role in Store</w:t>
            </w:r>
          </w:p>
        </w:tc>
      </w:tr>
      <w:tr>
        <w:tc>
          <w:tcPr>
            <w:tcW w:type="dxa" w:w="2160"/>
          </w:tcPr>
          <w:p>
            <w:r>
              <w:t>BEER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KES 15,684,200.95</w:t>
            </w:r>
          </w:p>
        </w:tc>
        <w:tc>
          <w:tcPr>
            <w:tcW w:type="dxa" w:w="2160"/>
          </w:tcPr>
          <w:p>
            <w:r>
              <w:t>Traffic Anchor / High Velocity</w:t>
            </w:r>
          </w:p>
        </w:tc>
      </w:tr>
      <w:tr>
        <w:tc>
          <w:tcPr>
            <w:tcW w:type="dxa" w:w="2160"/>
          </w:tcPr>
          <w:p>
            <w:r>
              <w:t>WINES</w:t>
            </w:r>
          </w:p>
        </w:tc>
        <w:tc>
          <w:tcPr>
            <w:tcW w:type="dxa" w:w="2160"/>
          </w:tcPr>
          <w:p>
            <w:r>
              <w:t>1830</w:t>
            </w:r>
          </w:p>
        </w:tc>
        <w:tc>
          <w:tcPr>
            <w:tcW w:type="dxa" w:w="2160"/>
          </w:tcPr>
          <w:p>
            <w:r>
              <w:t>KES 2,872,699.00</w:t>
            </w:r>
          </w:p>
        </w:tc>
        <w:tc>
          <w:tcPr>
            <w:tcW w:type="dxa" w:w="2160"/>
          </w:tcPr>
          <w:p>
            <w:r>
              <w:t>Premium Variety / Low velocity</w:t>
            </w:r>
          </w:p>
        </w:tc>
      </w:tr>
    </w:tbl>
    <w:p>
      <w:pPr>
        <w:pStyle w:val="Heading1"/>
      </w:pPr>
      <w:r>
        <w:t>2. Beer Section: Velocity &amp; Refill Strategy</w:t>
      </w:r>
    </w:p>
    <w:p>
      <w:r>
        <w:t>Beer is the primary revenue driver for the alcohol section. The top 10 SKUs account for a disproportionate amount of the section's total cash flow. Out-of-stocks in these items represent a high 'Ghost Demand' risk.</w:t>
      </w:r>
    </w:p>
    <w:p>
      <w:pPr>
        <w:pStyle w:val="Heading2"/>
      </w:pPr>
      <w:r>
        <w:t>Top 5 Velocity Anchors (BEER)</w:t>
      </w:r>
    </w:p>
    <w:p>
      <w:pPr>
        <w:pStyle w:val="ListBullet"/>
      </w:pPr>
      <w:r>
        <w:rPr>
          <w:b/>
        </w:rPr>
        <w:t xml:space="preserve">Unknown </w:t>
      </w:r>
      <w:r>
        <w:t>| Revenue: KES 3,584,277.24 | Qty: 19,840</w:t>
      </w:r>
    </w:p>
    <w:p>
      <w:pPr>
        <w:pStyle w:val="ListBullet"/>
      </w:pPr>
      <w:r>
        <w:rPr>
          <w:b/>
        </w:rPr>
        <w:t xml:space="preserve">Unknown </w:t>
      </w:r>
      <w:r>
        <w:t>| Revenue: KES 1,955,542.44 | Qty: 12,142</w:t>
      </w:r>
    </w:p>
    <w:p>
      <w:pPr>
        <w:pStyle w:val="ListBullet"/>
      </w:pPr>
      <w:r>
        <w:rPr>
          <w:b/>
        </w:rPr>
        <w:t xml:space="preserve">Unknown </w:t>
      </w:r>
      <w:r>
        <w:t>| Revenue: KES 1,451,923.00 | Qty: 8,849</w:t>
      </w:r>
    </w:p>
    <w:p>
      <w:pPr>
        <w:pStyle w:val="ListBullet"/>
      </w:pPr>
      <w:r>
        <w:rPr>
          <w:b/>
        </w:rPr>
        <w:t xml:space="preserve">Unknown </w:t>
      </w:r>
      <w:r>
        <w:t>| Revenue: KES 1,333,859.00 | Qty: 7,339</w:t>
      </w:r>
    </w:p>
    <w:p>
      <w:pPr>
        <w:pStyle w:val="ListBullet"/>
      </w:pPr>
      <w:r>
        <w:rPr>
          <w:b/>
        </w:rPr>
        <w:t xml:space="preserve">Unknown </w:t>
      </w:r>
      <w:r>
        <w:t>| Revenue: KES 1,280,445.14 | Qty: 6,710</w:t>
      </w:r>
    </w:p>
    <w:p>
      <w:r>
        <w:t>ACTION: Implement 24-hour safety stock triggers for these items. Do not wait for standard delivery windows.</w:t>
      </w:r>
    </w:p>
    <w:p>
      <w:pPr>
        <w:pStyle w:val="Heading1"/>
      </w:pPr>
      <w:r>
        <w:t>3. Wine Section: Catalog Optimization</w:t>
      </w:r>
    </w:p>
    <w:p>
      <w:r>
        <w:t>The Wine section currently carries 1830 unique SKUs. However, the total revenue (KES {data['wine_metrics']['Total Revenue']:,.2f}) is significantly lower than Beer. This inventory profile indicates high 'Bloat'—meaning capital is tied up in slow-moving bottles.</w:t>
      </w:r>
    </w:p>
    <w:p>
      <w:pPr>
        <w:pStyle w:val="Heading2"/>
      </w:pPr>
      <w:r>
        <w:t>The Pareto List (Top 5 Wines)</w:t>
      </w:r>
    </w:p>
    <w:p>
      <w:pPr>
        <w:pStyle w:val="ListBullet"/>
      </w:pPr>
      <w:r>
        <w:rPr>
          <w:b/>
        </w:rPr>
        <w:t xml:space="preserve">Unknown </w:t>
      </w:r>
      <w:r>
        <w:t>| Revenue: KES 513,604.00</w:t>
      </w:r>
    </w:p>
    <w:p>
      <w:pPr>
        <w:pStyle w:val="ListBullet"/>
      </w:pPr>
      <w:r>
        <w:rPr>
          <w:b/>
        </w:rPr>
        <w:t xml:space="preserve">Unknown </w:t>
      </w:r>
      <w:r>
        <w:t>| Revenue: KES 346,290.00</w:t>
      </w:r>
    </w:p>
    <w:p>
      <w:pPr>
        <w:pStyle w:val="ListBullet"/>
      </w:pPr>
      <w:r>
        <w:rPr>
          <w:b/>
        </w:rPr>
        <w:t xml:space="preserve">Unknown </w:t>
      </w:r>
      <w:r>
        <w:t>| Revenue: KES 125,193.00</w:t>
      </w:r>
    </w:p>
    <w:p>
      <w:pPr>
        <w:pStyle w:val="ListBullet"/>
      </w:pPr>
      <w:r>
        <w:rPr>
          <w:b/>
        </w:rPr>
        <w:t xml:space="preserve">Unknown </w:t>
      </w:r>
      <w:r>
        <w:t>| Revenue: KES 105,245.00</w:t>
      </w:r>
    </w:p>
    <w:p>
      <w:pPr>
        <w:pStyle w:val="ListBullet"/>
      </w:pPr>
      <w:r>
        <w:rPr>
          <w:b/>
        </w:rPr>
        <w:t xml:space="preserve">Unknown </w:t>
      </w:r>
      <w:r>
        <w:t>| Revenue: KES 104,592.00</w:t>
      </w:r>
    </w:p>
    <w:p>
      <w:r>
        <w:t>ACTION: Recommend a 20% catalog reduction. Identify wines with zero movement over the last 90 days and clear them through bundles or cross-promotions.</w:t>
      </w:r>
    </w:p>
    <w:p>
      <w:pPr>
        <w:pStyle w:val="Heading1"/>
      </w:pPr>
      <w:r>
        <w:t>4. Neural Insights: Cross-Merchandising</w:t>
      </w:r>
    </w:p>
    <w:p>
      <w:r>
        <w:t>Our neural network tracks 'Halo Links'—items frequently bought with alcohol. Strategic placement of these items can increase the average basket value.</w:t>
      </w:r>
    </w:p>
    <w:p>
      <w:pPr>
        <w:pStyle w:val="Heading2"/>
      </w:pPr>
      <w:r>
        <w:t>Key Affinity Targets</w:t>
      </w:r>
    </w:p>
    <w:p>
      <w:r>
        <w:t>Based on the Beer &amp; Spirit anchors, common purchase pairings include:</w:t>
      </w:r>
    </w:p>
    <w:p>
      <w:r>
        <w:t>STRATEGY: Place saline snacks, premium tonics, and citrus fruits (limes) near the exit path of the Alcohol aisle.</w:t>
      </w:r>
    </w:p>
    <w:p>
      <w:pPr>
        <w:pStyle w:val="Heading1"/>
      </w:pPr>
      <w:r>
        <w:t>5. Operational Next Steps</w:t>
      </w:r>
    </w:p>
    <w:p>
      <w:r>
        <w:t>1. Audit Beer storage capacity to ensure zero out-of-stocks on the Top 10 anchors.</w:t>
      </w:r>
    </w:p>
    <w:p>
      <w:r>
        <w:t>2. Review Wine inventory ages; identify SKUs for delisting.</w:t>
      </w:r>
    </w:p>
    <w:p>
      <w:r>
        <w:t>3. Monitor Spirit security for high-value items (Spirit section shows high inventory value vs volume).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