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4"/>
        </w:rPr>
        <w:t>The Editor</w:t>
      </w:r>
    </w:p>
    <w:p>
      <w:pPr>
        <w:spacing w:after="120"/>
      </w:pPr>
      <w:r>
        <w:rPr>
          <w:rFonts w:ascii="Times New Roman" w:hAnsi="Times New Roman"/>
          <w:b w:val="0"/>
          <w:i w:val="0"/>
          <w:sz w:val="24"/>
        </w:rPr>
        <w:t>Computer Networks</w:t>
      </w:r>
    </w:p>
    <w:p>
      <w:pPr>
        <w:spacing w:after="120"/>
      </w:pPr>
      <w:r>
        <w:rPr>
          <w:rFonts w:ascii="Times New Roman" w:hAnsi="Times New Roman"/>
          <w:b w:val="0"/>
          <w:i w:val="0"/>
          <w:sz w:val="24"/>
        </w:rPr>
        <w:t>Elsevier</w:t>
      </w:r>
    </w:p>
    <w:p>
      <w:pPr>
        <w:spacing w:after="120"/>
      </w:pPr>
      <w:r>
        <w:rPr>
          <w:rFonts w:ascii="Times New Roman" w:hAnsi="Times New Roman"/>
          <w:b w:val="0"/>
          <w:i w:val="0"/>
          <w:sz w:val="24"/>
        </w:rPr>
      </w:r>
    </w:p>
    <w:p>
      <w:pPr>
        <w:spacing w:after="120"/>
      </w:pPr>
      <w:r>
        <w:rPr>
          <w:rFonts w:ascii="Times New Roman" w:hAnsi="Times New Roman"/>
          <w:b/>
          <w:i w:val="0"/>
          <w:sz w:val="24"/>
        </w:rPr>
        <w:t>Subject: Revised Manuscript – “FedSemGNN: A Scalable, Semantic-Aware Federated RL Framework for Efficient 6G Edge Orchestration”</w:t>
      </w:r>
    </w:p>
    <w:p>
      <w:pPr>
        <w:spacing w:after="120"/>
      </w:pPr>
      <w:r>
        <w:rPr>
          <w:rFonts w:ascii="Times New Roman" w:hAnsi="Times New Roman"/>
          <w:b w:val="0"/>
          <w:i w:val="0"/>
          <w:sz w:val="24"/>
        </w:rPr>
      </w:r>
    </w:p>
    <w:p>
      <w:pPr>
        <w:spacing w:after="120"/>
      </w:pPr>
      <w:r>
        <w:rPr>
          <w:rFonts w:ascii="Times New Roman" w:hAnsi="Times New Roman"/>
          <w:b w:val="0"/>
          <w:i w:val="0"/>
          <w:sz w:val="24"/>
        </w:rPr>
        <w:t>Dear Editor,</w:t>
      </w:r>
    </w:p>
    <w:p>
      <w:pPr>
        <w:spacing w:after="120"/>
      </w:pPr>
      <w:r>
        <w:rPr>
          <w:rFonts w:ascii="Times New Roman" w:hAnsi="Times New Roman"/>
          <w:b w:val="0"/>
          <w:i w:val="0"/>
          <w:sz w:val="24"/>
        </w:rPr>
      </w:r>
    </w:p>
    <w:p>
      <w:pPr>
        <w:spacing w:after="120"/>
      </w:pPr>
      <w:r>
        <w:rPr>
          <w:rFonts w:ascii="Times New Roman" w:hAnsi="Times New Roman"/>
          <w:b w:val="0"/>
          <w:i w:val="0"/>
          <w:sz w:val="24"/>
        </w:rPr>
        <w:t>We are pleased to submit the revised version of our manuscript entitled “FedSemGNN: A Scalable, Semantic-Aware Federated RL Framework for Efficient 6G Edge Orchestration” for further consideration in Computer Networks. We sincerely thank the reviewers for their constructive and insightful comments, which have helped us strengthen the manuscript significantly.</w:t>
      </w:r>
    </w:p>
    <w:p>
      <w:pPr>
        <w:spacing w:after="120"/>
      </w:pPr>
      <w:r>
        <w:rPr>
          <w:rFonts w:ascii="Times New Roman" w:hAnsi="Times New Roman"/>
          <w:b w:val="0"/>
          <w:i w:val="0"/>
          <w:sz w:val="24"/>
        </w:rPr>
        <w:t>In this revision, we have carefully addressed every point raised by both reviewers. The abstract has been restructured into a concise 200-word summary following the standard Problem–Method–Results–Impact flow. The semantic similarity threshold (τ = 0.3) is now justified through a controlled sensitivity sweep. EWC regularization sensitivity is reported with a full parameter grid. Priority-adaptive semantic thresholds for URLLC/emergency services are validated through a dedicated priority-aware scheduling study. Recent 6G references (2024–2025) have been incorporated. Comparisons with SAC, TD3, and MARL paradigms are contextualized, and platform portability is discussed with a clear migration roadmap. A detailed point-by-point response to the reviews is attached separately.</w:t>
      </w:r>
    </w:p>
    <w:p>
      <w:pPr>
        <w:spacing w:after="120"/>
      </w:pPr>
      <w:r>
        <w:rPr>
          <w:rFonts w:ascii="Times New Roman" w:hAnsi="Times New Roman"/>
          <w:b w:val="0"/>
          <w:i w:val="0"/>
          <w:sz w:val="24"/>
        </w:rPr>
        <w:t>This paper presents FedSemGNN, a hierarchical federated reinforcement learning framework that jointly integrates semantic-aware task representation, graph neural network topology encoding, and two-level proximal policy optimization for 6G edge orchestration. The key results, verified through multi-trial experiments on the EdgeSimPy simulator, are as follows:</w:t>
      </w:r>
    </w:p>
    <w:p>
      <w:pPr>
        <w:pStyle w:val="ListBullet"/>
        <w:spacing w:after="80"/>
      </w:pPr>
      <w:r>
        <w:rPr>
          <w:rFonts w:ascii="Times New Roman" w:hAnsi="Times New Roman"/>
          <w:sz w:val="24"/>
        </w:rPr>
        <w:t>Orchestration latency of 39.08 ± 6.23 ms (3.3× faster than FlatFedPPO), evaluated over 1,000 steps with 5 independent trials.</w:t>
      </w:r>
    </w:p>
    <w:p>
      <w:pPr>
        <w:pStyle w:val="ListBullet"/>
        <w:spacing w:after="80"/>
      </w:pPr>
      <w:r>
        <w:rPr>
          <w:rFonts w:ascii="Times New Roman" w:hAnsi="Times New Roman"/>
          <w:sz w:val="24"/>
        </w:rPr>
        <w:t>Near-perfect semantic fidelity (~100%), compared to 71.9% for FlatFedPPO and 72.5% for CentralizedPPO.</w:t>
      </w:r>
    </w:p>
    <w:p>
      <w:pPr>
        <w:pStyle w:val="ListBullet"/>
        <w:spacing w:after="80"/>
      </w:pPr>
      <w:r>
        <w:rPr>
          <w:rFonts w:ascii="Times New Roman" w:hAnsi="Times New Roman"/>
          <w:sz w:val="24"/>
        </w:rPr>
        <w:t>Communication overhead of only 0.72 MB (21× lower than FlatFedPPO, 290× lower than HierFedPPO) through hierarchical aggregation with compact 16-dimensional embeddings.</w:t>
      </w:r>
    </w:p>
    <w:p>
      <w:pPr>
        <w:pStyle w:val="ListBullet"/>
        <w:spacing w:after="80"/>
      </w:pPr>
      <w:r>
        <w:rPr>
          <w:rFonts w:ascii="Times New Roman" w:hAnsi="Times New Roman"/>
          <w:sz w:val="24"/>
        </w:rPr>
        <w:t>Scalability validated across seven scale points from 6 to 1,000 nodes (167× range), confirming preserved semantic fidelity and near-linear computation time growth.</w:t>
      </w:r>
    </w:p>
    <w:p>
      <w:pPr>
        <w:pStyle w:val="ListBullet"/>
        <w:spacing w:after="80"/>
      </w:pPr>
      <w:r>
        <w:rPr>
          <w:rFonts w:ascii="Times New Roman" w:hAnsi="Times New Roman"/>
          <w:sz w:val="24"/>
        </w:rPr>
        <w:t>Favorable comparison with published deep RL methods (ECO-SDIoT, GFL-LFF, FRPVC): competitive latency, 7–69× lower communication, and unique semantic awareness with federated privacy.</w:t>
      </w:r>
    </w:p>
    <w:p>
      <w:pPr>
        <w:spacing w:after="120"/>
      </w:pPr>
      <w:r>
        <w:rPr>
          <w:rFonts w:ascii="Times New Roman" w:hAnsi="Times New Roman"/>
          <w:b w:val="0"/>
          <w:i w:val="0"/>
          <w:sz w:val="24"/>
        </w:rPr>
      </w:r>
    </w:p>
    <w:p>
      <w:pPr>
        <w:spacing w:after="120"/>
      </w:pPr>
      <w:r>
        <w:rPr>
          <w:rFonts w:ascii="Times New Roman" w:hAnsi="Times New Roman"/>
          <w:b w:val="0"/>
          <w:i w:val="0"/>
          <w:sz w:val="24"/>
        </w:rPr>
        <w:t>The main technical contributions are: (1) a continual semantic encoder producing 16-dimensional embeddings with elastic weight consolidation for intent-aware placement; (2) a two-layer GCN (21→32→16 dimensions) with symmetric normalization for topology-informed decisions; (3) a hierarchical federated PPO with dual-level synchronization (local every 10 epochs, global every 50 epochs) achieving 21× communication reduction; (4) a priority-adaptive semantic threshold mechanism for differentiated 6G service classes; and (5) comprehensive multi-trial experimental validation with parameter sensitivity analysis across all key hyperparameters.</w:t>
      </w:r>
    </w:p>
    <w:p>
      <w:pPr>
        <w:spacing w:after="120"/>
      </w:pPr>
      <w:r>
        <w:rPr>
          <w:rFonts w:ascii="Times New Roman" w:hAnsi="Times New Roman"/>
          <w:b w:val="0"/>
          <w:i w:val="0"/>
          <w:sz w:val="24"/>
        </w:rPr>
        <w:t>To the best of our knowledge, FedSemGNN is the first framework to jointly integrate semantic embeddings, GNN-based topology encoding, and hierarchical federated reinforcement learning within a unified orchestration system for large-scale 6G edge networks. We believe this work fits well within the scope of Computer Networks and contributes meaningfully to the field of intelligent, scalable, and communication-efficient edge orchestration.</w:t>
      </w:r>
    </w:p>
    <w:p>
      <w:pPr>
        <w:spacing w:after="120"/>
      </w:pPr>
      <w:r>
        <w:rPr>
          <w:rFonts w:ascii="Times New Roman" w:hAnsi="Times New Roman"/>
          <w:b w:val="0"/>
          <w:i w:val="0"/>
          <w:sz w:val="24"/>
        </w:rPr>
        <w:t>We look forward to your favorable consideration of the revised manuscript.</w:t>
      </w:r>
    </w:p>
    <w:p>
      <w:pPr>
        <w:spacing w:after="120"/>
      </w:pPr>
      <w:r>
        <w:rPr>
          <w:rFonts w:ascii="Times New Roman" w:hAnsi="Times New Roman"/>
          <w:b w:val="0"/>
          <w:i w:val="0"/>
          <w:sz w:val="24"/>
        </w:rPr>
      </w:r>
    </w:p>
    <w:p>
      <w:pPr>
        <w:spacing w:after="120"/>
      </w:pPr>
      <w:r>
        <w:rPr>
          <w:rFonts w:ascii="Times New Roman" w:hAnsi="Times New Roman"/>
          <w:b w:val="0"/>
          <w:i w:val="0"/>
          <w:sz w:val="24"/>
        </w:rPr>
        <w:t>Sincerely,</w:t>
      </w:r>
    </w:p>
    <w:p>
      <w:pPr>
        <w:spacing w:after="120"/>
      </w:pPr>
      <w:r>
        <w:rPr>
          <w:rFonts w:ascii="Times New Roman" w:hAnsi="Times New Roman"/>
          <w:b w:val="0"/>
          <w:i w:val="0"/>
          <w:sz w:val="24"/>
        </w:rPr>
        <w:t>Qaiser Muhammad Abdur Rehman</w:t>
      </w:r>
    </w:p>
    <w:p>
      <w:pPr>
        <w:spacing w:after="120"/>
      </w:pPr>
      <w:r>
        <w:rPr>
          <w:rFonts w:ascii="Times New Roman" w:hAnsi="Times New Roman"/>
          <w:b w:val="0"/>
          <w:i w:val="0"/>
          <w:sz w:val="24"/>
        </w:rPr>
        <w:t>(On behalf of all co-authors)</w:t>
      </w:r>
    </w:p>
    <w:p>
      <w:pPr>
        <w:spacing w:after="120"/>
      </w:pPr>
      <w:r>
        <w:rPr>
          <w:rFonts w:ascii="Times New Roman" w:hAnsi="Times New Roman"/>
          <w:b w:val="0"/>
          <w:i w:val="0"/>
          <w:sz w:val="24"/>
        </w:rPr>
        <w:t>School of Software, Dalian University of Technology</w:t>
      </w:r>
    </w:p>
    <w:p>
      <w:pPr>
        <w:spacing w:after="120"/>
      </w:pPr>
      <w:r>
        <w:rPr>
          <w:rFonts w:ascii="Times New Roman" w:hAnsi="Times New Roman"/>
          <w:b w:val="0"/>
          <w:i w:val="0"/>
          <w:sz w:val="24"/>
        </w:rPr>
        <w:t>Dalian 116024, Liaoning, China</w:t>
      </w:r>
    </w:p>
    <w:p>
      <w:pPr>
        <w:spacing w:after="120"/>
      </w:pPr>
      <w:r>
        <w:rPr>
          <w:rFonts w:ascii="Times New Roman" w:hAnsi="Times New Roman"/>
          <w:b w:val="0"/>
          <w:i w:val="0"/>
          <w:sz w:val="24"/>
        </w:rPr>
        <w:t>Email: qaisermuhammad@hotmail.com</w:t>
      </w:r>
    </w:p>
    <w:p>
      <w:pPr>
        <w:spacing w:after="120"/>
      </w:pPr>
      <w:r>
        <w:rPr>
          <w:rFonts w:ascii="Times New Roman" w:hAnsi="Times New Roman"/>
          <w:b w:val="0"/>
          <w:i w:val="0"/>
          <w:sz w:val="24"/>
        </w:rPr>
      </w:r>
    </w:p>
    <w:p>
      <w:pPr>
        <w:spacing w:after="120"/>
      </w:pPr>
      <w:r>
        <w:rPr>
          <w:rFonts w:ascii="Times New Roman" w:hAnsi="Times New Roman"/>
          <w:b/>
          <w:i w:val="0"/>
          <w:sz w:val="24"/>
        </w:rPr>
        <w:t>Co-authors:</w:t>
      </w:r>
    </w:p>
    <w:p>
      <w:pPr>
        <w:spacing w:after="120"/>
      </w:pPr>
      <w:r>
        <w:rPr>
          <w:rFonts w:ascii="Times New Roman" w:hAnsi="Times New Roman"/>
          <w:b w:val="0"/>
          <w:i w:val="0"/>
          <w:sz w:val="24"/>
        </w:rPr>
        <w:t>Mingchu Li – School of Computer and Information Engineering, Jiangxi Normal University, China – Corresponding author, Email: mingchu@jxnu.edu.cn</w:t>
      </w:r>
    </w:p>
    <w:p>
      <w:pPr>
        <w:spacing w:after="120"/>
      </w:pPr>
      <w:r>
        <w:rPr>
          <w:rFonts w:ascii="Times New Roman" w:hAnsi="Times New Roman"/>
          <w:b w:val="0"/>
          <w:i w:val="0"/>
          <w:sz w:val="24"/>
        </w:rPr>
        <w:t>Sanam Shahla Rizvi – Raptor Interactive (Pty) Ltd., Centurion 0157, South Africa – Email: sanam_shahla@hotmail.com</w:t>
      </w:r>
    </w:p>
    <w:p>
      <w:pPr>
        <w:spacing w:after="120"/>
      </w:pPr>
      <w:r>
        <w:rPr>
          <w:rFonts w:ascii="Times New Roman" w:hAnsi="Times New Roman"/>
          <w:b w:val="0"/>
          <w:i w:val="0"/>
          <w:sz w:val="24"/>
        </w:rPr>
        <w:t>Se Jin Kwon – Department of Computer Science &amp; Artificial Intelligence, Dongguk University, Seoul 04620, South Korea – Corresponding author, Email: skwon1109@gmail.com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