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7826" w14:textId="77777777" w:rsidR="00562990" w:rsidRDefault="00000000">
      <w:r>
        <w:rPr>
          <w:b/>
          <w:sz w:val="26"/>
        </w:rPr>
        <w:t>REVIEWER #: 1</w:t>
      </w:r>
    </w:p>
    <w:p w14:paraId="532127FD" w14:textId="77777777" w:rsidR="00562990" w:rsidRDefault="00000000">
      <w:r>
        <w:t>================================================================</w:t>
      </w:r>
    </w:p>
    <w:p w14:paraId="3A07FB1D" w14:textId="77777777" w:rsidR="00562990" w:rsidRDefault="00000000">
      <w:r>
        <w:t>Reviewer #: 1:</w:t>
      </w:r>
    </w:p>
    <w:p w14:paraId="5F395815" w14:textId="77777777" w:rsidR="00562990" w:rsidRDefault="00562990"/>
    <w:p w14:paraId="35F50196" w14:textId="77777777" w:rsidR="00562990" w:rsidRDefault="00000000">
      <w:r>
        <w:t>1. The abstract is too lengthy to grasp the key research points; it is recommended to further condense its content.</w:t>
      </w:r>
    </w:p>
    <w:p w14:paraId="134A96CF" w14:textId="77777777" w:rsidR="00562990" w:rsidRDefault="00562990"/>
    <w:p w14:paraId="2F884955" w14:textId="77777777" w:rsidR="00562990" w:rsidRDefault="00000000">
      <w:r>
        <w:rPr>
          <w:b/>
        </w:rPr>
        <w:t xml:space="preserve">Author Response: </w:t>
      </w:r>
      <w:r>
        <w:t>We sincerely thank the reviewer for their constructive feedback. In response, we have completely rewritten the abstract to follow the standard scientific flow used in high-impact journals: Problem → Gap → Proposed Method → Results → Significance. The revised abstract is now exactly 200 words, written as smooth, connected prose without bold labels, ensuring natural readability and logical harmony. The four implicit segments are: (1) the 6G orchestration challenge and constraints; (2) the gap in existing RL approaches; (3) the three unified capabilities of FedSemGNN (semantic embeddings, GCN topology encoding, hierarchical PPO with priority-aware scheduling); and (4) quantitative results (39.08 ms latency, near-perfect fidelity, 21× lower communication, scalability to 1,000 nodes) followed by the broader impact.</w:t>
      </w:r>
    </w:p>
    <w:p w14:paraId="1A721C52" w14:textId="77777777" w:rsidR="00562990" w:rsidRDefault="00562990"/>
    <w:p w14:paraId="26B5327C" w14:textId="77777777" w:rsidR="00562990" w:rsidRDefault="00000000">
      <w:r>
        <w:rPr>
          <w:b/>
        </w:rPr>
        <w:t>Changes in the Revised Manuscript:</w:t>
      </w:r>
    </w:p>
    <w:p w14:paraId="105E7779" w14:textId="77777777" w:rsidR="00562990" w:rsidRDefault="00000000">
      <w:r>
        <w:rPr>
          <w:color w:val="00008B"/>
          <w:sz w:val="20"/>
        </w:rPr>
        <w:t>Sixth-generation (6G) edge networks must orchestrate heterogeneous services across massive device populations under strict latency, energy, and privacy constraints. Existing reinforcement-learning (RL) approaches for edge orchestration either ignore semantic task content, lack awareness of network topology, or incur prohibitive communication overhead when deployed in federated settings, limiting applicability to latency-critical 6G scenarios. To address these shortcomings, we propose FedSemGNN, a hierarchical federated RL framework that jointly integrates three complementary capabilities: (i) continual semantic task embeddings regularized by elastic weight consolidation for intent-aware service placement, (ii) graph convolutional network-based topology encoding that captures spatial relationships among edge nodes for structurally coherent decisions, and (iii) a two-level proximal policy optimization architecture with priority-aware scheduling and adaptive semantic thresholds tailored to diverse 6G service classes. Comprehensive evaluation on the EdgeSimPy simulator over 1,000 orchestration steps against five representative baselines demonstrates that FedSemGNN achieves 39.08 ms orchestration latency (3.3× faster than flat federation), near-perfect semantic fidelity, and 21× lower communication overhead (0.72 MB). Scalability experiments spanning seven network sizes from 6 to 1,000 nodes (a 167× range) confirm that fidelity is preserved and computation time grows near-linearly. These results position FedSemGNN as a control-plane foundation for privacy-preserving, semantic-aware orchestration in large-scale 6G edge deployments.</w:t>
      </w:r>
      <w:r>
        <w:rPr>
          <w:color w:val="00008B"/>
          <w:sz w:val="20"/>
        </w:rPr>
        <w:t>Sixth-generation (6G) edge networks must orchestrate heterogeneous services across massive device populations under strict latency, energy, and privacy constraints. Existing reinforcement-learning (RL) approaches for edge orchestration either ignore semantic task content, lack awareness of network topology, or incur prohibitive communication overhead when deployed in federated settings, limiting applicability to latency-critical 6G scenarios. To address these shortcomings, we propose FedSemGNN, a hierarchical federated RL framework that jointly integrates three complementary capabilities: (i) continual semantic task embeddings regularized by elastic weight consolidation for intent-aware service placement, (ii) graph convolutional network-based topology encoding that captures spatial relationships among edge nodes for structurally coherent decisions, and (iii) a two-level proximal policy optimization architecture with priority-aware scheduling and adaptive semantic thresholds tailored to diverse 6G service classes. Comprehensive evaluation on the EdgeSimPy simulator over 1,000 orchestration steps against five representative baselines demonstrates that FedSemGNN achieves 39.08 ms orchestration latency (3.3× faster than flat federation), near-perfect semantic fidelity, and 21× lower communication overhead (0.72 MB). Scalability experiments spanning seven network sizes from 6 to 1,000 nodes (a 167× range) confirm that fidelity is preserved and computation time grows near-linearly. These results position FedSemGNN as a control-plane foundation for privacy-preserving, semantic-aware orchestration in large-scale 6G edge deployments.</w:t>
      </w:r>
      <w:r>
        <w:rPr>
          <w:color w:val="00008B"/>
          <w:sz w:val="20"/>
        </w:rPr>
        <w:t>Sixth-generation (6G) edge networks must orchestrate heterogeneous services across massive device populations under strict latency, energy, and privacy constraints. Existing reinforcement-learning (RL) approaches for edge orchestration either ignore semantic task content, lack awareness of network topology, or incur prohibitive communication overhead when deployed in federated settings, limiting applicability to latency-critical 6G scenarios. To address these shortcomings, we propose FedSemGNN, a hierarchical federated RL framework that jointly integrates three complementary capabilities: (i) continual semantic task embeddings regularized by elastic weight consolidation for intent-aware service placement, (ii) graph convolutional network-based topology encoding that captures spatial relationships among edge nodes for structurally coherent decisions, and (iii) a two-level proximal policy optimization architecture with priority-aware scheduling and adaptive semantic thresholds tailored to diverse 6G service classes. Comprehensive evaluation on the EdgeSimPy simulator over 1,000 orchestration steps against five representative baselines demonstrates that FedSemGNN achieves 39.08 ms orchestration latency (3.3× faster than flat federation), near-perfect semantic fidelity, and 21× lower communication overhead (0.72 MB). Scalability experiments spanning seven network sizes from 6 to 1,000 nodes (a 167× range) confirm that fidelity is preserved and computation time grows near-linearly. These results position FedSemGNN as a control-plane foundation for privacy-preserving, semantic-aware orchestration in large-scale 6G edge deployments.</w:t>
      </w:r>
    </w:p>
    <w:p w14:paraId="131A07D2" w14:textId="77777777" w:rsidR="00562990" w:rsidRDefault="00562990"/>
    <w:p w14:paraId="68AAB2DE" w14:textId="77777777" w:rsidR="00562990" w:rsidRDefault="00000000">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779CD599" w14:textId="77777777" w:rsidR="00562990" w:rsidRDefault="00562990"/>
    <w:p w14:paraId="56BB3E73" w14:textId="77777777" w:rsidR="00562990" w:rsidRDefault="00000000">
      <w:r>
        <w:rPr>
          <w:b/>
        </w:rPr>
        <w:lastRenderedPageBreak/>
        <w:t xml:space="preserve">Author Response: </w:t>
      </w:r>
      <w:r>
        <w:t>We sincerely thank the reviewer for this important observation. In the revised manuscript, we address this concern in three ways. First, we now explicitly treat the similarity threshold τ as a tunable system knob (default 0.3) rather than an arbitrary constant (Section IV.B, subsubsection "Semantic similarity threshold and adaptation"). Second, we introduce priority-adaptive thresholds via the equation τ_i = clip(τ₀ + κ·(p_i − 0.5), 0.05, 0.95), where each service is assigned a priority p_i ∈ [0,1] (ordinary to emergency/URLLC), and κ controls the adaptation slope. This ensures that ultra-low latency and high-reliability services receive stricter semantic matching. Third, we conduct a sensitivity sweep over τ ∈ {0.2, 0.3, 0.4} (Table V), showing that FedSemGNN maintains 100% fidelity and constant 30.61 ms latency at all threshold settings, confirming robustness and justifying the default choice. Additionally, our Priority-Aware Scheduling Study (Table IV) demonstrates the adaptive threshold in action: with 20% emergency tasks injected, the effective threshold ranges from 0.24 (ordinary tasks) to 0.40 (emergency tasks), reducing priority-weighted latency by 22%.</w:t>
      </w:r>
    </w:p>
    <w:p w14:paraId="6857A2F5" w14:textId="77777777" w:rsidR="00562990" w:rsidRDefault="00562990"/>
    <w:p w14:paraId="05138166" w14:textId="77777777" w:rsidR="00562990" w:rsidRDefault="00000000">
      <w:r>
        <w:rPr>
          <w:b/>
        </w:rPr>
        <w:t>Changes in the Revised Manuscript:</w:t>
      </w:r>
    </w:p>
    <w:p w14:paraId="5857EB36" w14:textId="77777777" w:rsidR="00562990" w:rsidRDefault="00000000">
      <w:r>
        <w:rPr>
          <w:color w:val="00008B"/>
          <w:sz w:val="20"/>
        </w:rPr>
        <w:t>[Section IV.B – Semantic similarity threshold and adaptation]</w:t>
      </w:r>
      <w:r>
        <w:rPr>
          <w:color w:val="00008B"/>
          <w:sz w:val="20"/>
        </w:rPr>
        <w:br/>
        <w:t>To decide whether a placement satisfies semantic requirements, we use a similarity threshold τ such that a task–server pair is considered semantically compatible if sim(i,v) ≥ τ. In this work, τ is treated as a tunable system knob (default 0.3) rather than an arbitrary constant. We report sensitivity to τ and use it to trade off strict semantic matching (higher τ) versus feasibility and flexibility (lower τ).</w:t>
      </w:r>
      <w:r>
        <w:rPr>
          <w:color w:val="00008B"/>
          <w:sz w:val="20"/>
        </w:rPr>
        <w:br/>
      </w:r>
      <w:r>
        <w:rPr>
          <w:color w:val="00008B"/>
          <w:sz w:val="20"/>
        </w:rPr>
        <w:br/>
        <w:t>To reflect heterogeneous 6G services, we additionally support priority-adaptive thresholds. Each service is assigned a priority p_i ∈ [0,1] (ordinary to emergency/URLLC). We adjust the effective threshold as:</w:t>
      </w:r>
      <w:r>
        <w:rPr>
          <w:color w:val="00008B"/>
          <w:sz w:val="20"/>
        </w:rPr>
        <w:br/>
        <w:t xml:space="preserve">    τ_i = clip(τ₀ + κ·(p_i − 0.5), 0.05, 0.95)</w:t>
      </w:r>
      <w:r>
        <w:rPr>
          <w:color w:val="00008B"/>
          <w:sz w:val="20"/>
        </w:rPr>
        <w:br/>
        <w:t>where τ₀ is the base threshold and κ controls the slope.</w:t>
      </w:r>
      <w:r>
        <w:rPr>
          <w:color w:val="00008B"/>
          <w:sz w:val="20"/>
        </w:rPr>
        <w:br/>
      </w:r>
      <w:r>
        <w:rPr>
          <w:color w:val="00008B"/>
          <w:sz w:val="20"/>
        </w:rPr>
        <w:br/>
        <w:t>[Table V – Parameter sensitivity]</w:t>
      </w:r>
      <w:r>
        <w:rPr>
          <w:color w:val="00008B"/>
          <w:sz w:val="20"/>
        </w:rPr>
        <w:br/>
        <w:t>τ = 0.2, 0.3, 0.4 all yield: Fidelity 100.00±0.00%, Latency 30.61±0.00 ms</w:t>
      </w:r>
      <w:r>
        <w:rPr>
          <w:color w:val="00008B"/>
          <w:sz w:val="20"/>
        </w:rPr>
        <w:br/>
      </w:r>
      <w:r>
        <w:rPr>
          <w:color w:val="00008B"/>
          <w:sz w:val="20"/>
        </w:rPr>
        <w:br/>
        <w:t>[Table IV – Priority-aware diagnostics]</w:t>
      </w:r>
      <w:r>
        <w:rPr>
          <w:color w:val="00008B"/>
          <w:sz w:val="20"/>
        </w:rPr>
        <w:br/>
        <w:t>Effective threshold range: 0.24–0.40 around base τ₀ = 0.3 under κ = 0.2. Priority-weighted latency reduced from 2.726 ms to 2.116 ms. Emergency task latency: 1.202 ms vs. ordinary: 3.031 ms.</w:t>
      </w:r>
    </w:p>
    <w:p w14:paraId="3FE7698F" w14:textId="77777777" w:rsidR="00562990" w:rsidRDefault="00562990"/>
    <w:p w14:paraId="2BC95EDA" w14:textId="77777777" w:rsidR="00562990" w:rsidRDefault="00000000">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6748AB1B" w14:textId="77777777" w:rsidR="00562990" w:rsidRDefault="00562990"/>
    <w:p w14:paraId="69D929CF" w14:textId="77777777" w:rsidR="00562990" w:rsidRDefault="00000000">
      <w:r>
        <w:rPr>
          <w:b/>
        </w:rPr>
        <w:lastRenderedPageBreak/>
        <w:t xml:space="preserve">Author Response: </w:t>
      </w:r>
      <w:r>
        <w:t>We sincerely thank the reviewer for their constructive feedback. In the revised manuscript, we now explicitly expose λ_EWC as a tunable hyperparameter and provide both conceptual rationale and empirical sensitivity analysis. In Section IV.B (subsubsection "Continual learning regularization"), we explain the stability–plasticity tradeoff: larger λ_EWC better preserves prior knowledge but can slow adaptation; smaller values adapt quickly but risk forgetting. We then conduct a controlled sensitivity sweep over λ_EWC ∈ {0.0, 0.4, 0.8} (Table V), which shows that FedSemGNN achieves 100% semantic fidelity and identical latency across all three settings. This demonstrates complete robustness to the regularization parameter at the tested scale and justifies the default choice of λ_EWC = 0.4 as a balanced middle-ground value.</w:t>
      </w:r>
    </w:p>
    <w:p w14:paraId="4B25E5D5" w14:textId="77777777" w:rsidR="00562990" w:rsidRDefault="00562990"/>
    <w:p w14:paraId="07EEEAFC" w14:textId="77777777" w:rsidR="00562990" w:rsidRDefault="00000000">
      <w:r>
        <w:rPr>
          <w:b/>
        </w:rPr>
        <w:t>Changes in the Revised Manuscript:</w:t>
      </w:r>
    </w:p>
    <w:p w14:paraId="73B96769" w14:textId="77777777" w:rsidR="00562990" w:rsidRDefault="00000000">
      <w:r>
        <w:rPr>
          <w:color w:val="00008B"/>
          <w:sz w:val="20"/>
        </w:rPr>
        <w:t>[Section IV.B – Continual learning regularization (λ_EWC)]</w:t>
      </w:r>
      <w:r>
        <w:rPr>
          <w:color w:val="00008B"/>
          <w:sz w:val="20"/>
        </w:rPr>
        <w:br/>
        <w:t>EWC regularization controls the stability–plasticity tradeoff of the semantic encoder. Larger λ_EWC better preserves prior knowledge but can slow adaptation; smaller values adapt quickly but risk forgetting. We therefore expose λ_EWC and quantify its impact through parameter sensitivity experiments.</w:t>
      </w:r>
      <w:r>
        <w:rPr>
          <w:color w:val="00008B"/>
          <w:sz w:val="20"/>
        </w:rPr>
        <w:br/>
      </w:r>
      <w:r>
        <w:rPr>
          <w:color w:val="00008B"/>
          <w:sz w:val="20"/>
        </w:rPr>
        <w:br/>
        <w:t>[Table V – Parameter sensitivity]</w:t>
      </w:r>
      <w:r>
        <w:rPr>
          <w:color w:val="00008B"/>
          <w:sz w:val="20"/>
        </w:rPr>
        <w:br/>
        <w:t>λ_EWC = 0.0: Fidelity 100.00±0.00%, Latency 30.61±0.00 ms</w:t>
      </w:r>
      <w:r>
        <w:rPr>
          <w:color w:val="00008B"/>
          <w:sz w:val="20"/>
        </w:rPr>
        <w:br/>
        <w:t>λ_EWC = 0.4: Fidelity 100.00±0.00%, Latency 30.61±0.00 ms</w:t>
      </w:r>
      <w:r>
        <w:rPr>
          <w:color w:val="00008B"/>
          <w:sz w:val="20"/>
        </w:rPr>
        <w:br/>
        <w:t>λ_EWC = 0.8: Fidelity 100.00±0.00%, Latency 30.61±0.00 ms</w:t>
      </w:r>
    </w:p>
    <w:p w14:paraId="2AC12B3F" w14:textId="77777777" w:rsidR="00562990" w:rsidRDefault="00562990"/>
    <w:p w14:paraId="4FA4CC5A" w14:textId="77777777" w:rsidR="00562990" w:rsidRDefault="00000000">
      <w:r>
        <w:t>4. Task priority differences are not considered, treating all service tasks equally. It ignores the scheduling priority distinction between emergency tasks (e.g., autonomous driving control signals) and ordinary tasks (e.g., log analysis) in 6G scenarios.</w:t>
      </w:r>
    </w:p>
    <w:p w14:paraId="004088F1" w14:textId="77777777" w:rsidR="00562990" w:rsidRDefault="00562990"/>
    <w:p w14:paraId="46D23CC6" w14:textId="77777777" w:rsidR="00562990" w:rsidRDefault="00000000">
      <w:r>
        <w:rPr>
          <w:b/>
        </w:rPr>
        <w:t xml:space="preserve">Author Response: </w:t>
      </w:r>
      <w:r>
        <w:t>We sincerely thank the reviewer for this valuable suggestion. We fully agree that priority differentiation is critical for 6G URLLC scenarios. In the revised manuscript, we have incorporated task priority as a new contribution:</w:t>
      </w:r>
      <w:r>
        <w:br/>
      </w:r>
      <w:r>
        <w:br/>
        <w:t>(1) Priority-aware orchestration primitives (Contribution #4): Each service is assigned a priority p_i ∈ [0,1], distinguishing emergency tasks (e.g., autonomous driving control signals, p_i ≈ 1.0) from ordinary tasks (e.g., log analysis, p_i ≈ 0.1).</w:t>
      </w:r>
      <w:r>
        <w:br/>
      </w:r>
      <w:r>
        <w:br/>
        <w:t>(2) Priority-weighted reward function (Section IV.D, Eq. 8): The reward uses priority-weighted service latency L_t^(w) = Σ w(p_i)·ℓ_i(t) / Σ w(p_i), where w(p) = p, ensuring that higher-priority tasks contribute more to the optimization objective.</w:t>
      </w:r>
      <w:r>
        <w:br/>
      </w:r>
      <w:r>
        <w:br/>
        <w:t xml:space="preserve">(3) Priority-adaptive semantic thresholds (Section IV.B, Eq. 4): The effective threshold τ_i </w:t>
      </w:r>
      <w:r>
        <w:lastRenderedPageBreak/>
        <w:t>adjusts with service priority, biasing urgent services toward stricter semantic matching.</w:t>
      </w:r>
      <w:r>
        <w:br/>
      </w:r>
      <w:r>
        <w:br/>
        <w:t>(4) Dedicated experimental validation (Section V, Table IV): A controlled experiment with 20% injected emergency tasks shows that FedSemGNN reduces priority-weighted mean latency from 2.726 ms to 2.116 ms while maintaining perfect semantic fidelity. Emergency tasks achieve 1.202 ms latency versus 3.031 ms for ordinary tasks, confirming effective priority differentiation.</w:t>
      </w:r>
    </w:p>
    <w:p w14:paraId="0A724CC1" w14:textId="77777777" w:rsidR="00562990" w:rsidRDefault="00562990"/>
    <w:p w14:paraId="5DF73B4A" w14:textId="77777777" w:rsidR="00562990" w:rsidRDefault="00000000">
      <w:r>
        <w:rPr>
          <w:b/>
        </w:rPr>
        <w:t>Changes in the Revised Manuscript:</w:t>
      </w:r>
    </w:p>
    <w:p w14:paraId="70AA620B" w14:textId="77777777" w:rsidR="00562990" w:rsidRDefault="00000000">
      <w:r>
        <w:rPr>
          <w:color w:val="00008B"/>
          <w:sz w:val="20"/>
        </w:rPr>
        <w:t>[Contribution #4 – Contributions list]</w:t>
      </w:r>
      <w:r>
        <w:rPr>
          <w:color w:val="00008B"/>
          <w:sz w:val="20"/>
        </w:rPr>
        <w:br/>
        <w:t>Priority-aware orchestration primitives: We model service priority (emergency vs. ordinary) and incorporate priority-weighted latency in the reward. We additionally enable priority-adaptive semantic thresholds to better satisfy URLLC-like service constraints.</w:t>
      </w:r>
      <w:r>
        <w:rPr>
          <w:color w:val="00008B"/>
          <w:sz w:val="20"/>
        </w:rPr>
        <w:br/>
      </w:r>
      <w:r>
        <w:rPr>
          <w:color w:val="00008B"/>
          <w:sz w:val="20"/>
        </w:rPr>
        <w:br/>
        <w:t>[Section IV.D – Reward Function]</w:t>
      </w:r>
      <w:r>
        <w:rPr>
          <w:color w:val="00008B"/>
          <w:sz w:val="20"/>
        </w:rPr>
        <w:br/>
        <w:t>The reward signal is designed to jointly optimize energy efficiency and response latency. To reflect priority heterogeneity in 6G services, we use priority-weighted service latency (emergency tasks contribute more):</w:t>
      </w:r>
      <w:r>
        <w:rPr>
          <w:color w:val="00008B"/>
          <w:sz w:val="20"/>
        </w:rPr>
        <w:br/>
        <w:t xml:space="preserve">    L_t^(w) = Σ_i w(p_i)·ℓ_i(t) / Σ_i w(p_i),  w(p) = p</w:t>
      </w:r>
      <w:r>
        <w:rPr>
          <w:color w:val="00008B"/>
          <w:sz w:val="20"/>
        </w:rPr>
        <w:br/>
        <w:t>Lower power and priority-weighted latency yield higher rewards, directly incentivizing preferential treatment of emergency tasks.</w:t>
      </w:r>
      <w:r>
        <w:rPr>
          <w:color w:val="00008B"/>
          <w:sz w:val="20"/>
        </w:rPr>
        <w:br/>
      </w:r>
      <w:r>
        <w:rPr>
          <w:color w:val="00008B"/>
          <w:sz w:val="20"/>
        </w:rPr>
        <w:br/>
        <w:t>[Table IV – Priority-aware diagnostics (50 steps, 20% emergency tasks)]</w:t>
      </w:r>
      <w:r>
        <w:rPr>
          <w:color w:val="00008B"/>
          <w:sz w:val="20"/>
        </w:rPr>
        <w:br/>
        <w:t>Priority-weighted latency: 2.726 ms (no priority) → 2.116 ms (priority-aware)</w:t>
      </w:r>
      <w:r>
        <w:rPr>
          <w:color w:val="00008B"/>
          <w:sz w:val="20"/>
        </w:rPr>
        <w:br/>
        <w:t>Emergency latency: 1.202 ms | Ordinary latency: 3.031 ms</w:t>
      </w:r>
      <w:r>
        <w:rPr>
          <w:color w:val="00008B"/>
          <w:sz w:val="20"/>
        </w:rPr>
        <w:br/>
        <w:t>Effective τ range: 0.24–0.40</w:t>
      </w:r>
    </w:p>
    <w:p w14:paraId="538029DE" w14:textId="77777777" w:rsidR="00562990" w:rsidRDefault="00562990"/>
    <w:p w14:paraId="76D31CCF" w14:textId="77777777" w:rsidR="00562990" w:rsidRDefault="00000000">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1C05385F" w14:textId="77777777" w:rsidR="00562990" w:rsidRDefault="00562990"/>
    <w:p w14:paraId="0F506211" w14:textId="77777777" w:rsidR="00562990" w:rsidRDefault="00000000">
      <w:r>
        <w:rPr>
          <w:b/>
        </w:rPr>
        <w:t xml:space="preserve">Author Response: </w:t>
      </w:r>
      <w:r>
        <w:t>We sincerely thank the reviewer for this helpful suggestion. In the revised manuscript, we have expanded the Related Work section (Section II) with additional 6G-related references. Specifically, we added a new paragraph titled "Additional 6G-related works" that cites the suggested ANNS paper [chen2025anns] on intelligent non-convex optimization for IRS-aided next-generation mobile networks, situating it within the broader trend of learning-assisted optimization that motivates cross-layer intelligent orchestration. We have also enriched the Introduction with recent 6G references including [cui2025] and [vahabi2025] to strengthen the contextual grounding.</w:t>
      </w:r>
    </w:p>
    <w:p w14:paraId="19CED994" w14:textId="77777777" w:rsidR="00562990" w:rsidRDefault="00562990"/>
    <w:p w14:paraId="2F7DCD78" w14:textId="77777777" w:rsidR="00562990" w:rsidRDefault="00000000">
      <w:r>
        <w:rPr>
          <w:b/>
        </w:rPr>
        <w:t>Changes in the Revised Manuscript:</w:t>
      </w:r>
    </w:p>
    <w:p w14:paraId="0840521C" w14:textId="77777777" w:rsidR="00562990" w:rsidRDefault="00000000">
      <w:r>
        <w:rPr>
          <w:color w:val="00008B"/>
          <w:sz w:val="20"/>
        </w:rPr>
        <w:t>[Section II – Additional 6G-related works, new paragraph]</w:t>
      </w:r>
      <w:r>
        <w:rPr>
          <w:color w:val="00008B"/>
          <w:sz w:val="20"/>
        </w:rPr>
        <w:br/>
        <w:t>Beyond edge orchestration papers, 6G networking increasingly relies on intelligent optimization at the physical and network layers. For example, ANNS [chen2025anns] proposes an intelligent non-convex optimization scheme for IRS-aided next-generation mobile networks, highlighting the broader trend of learning-assisted optimization that motivates cross-layer intelligent orchestration.</w:t>
      </w:r>
    </w:p>
    <w:p w14:paraId="269AA3A9" w14:textId="77777777" w:rsidR="00562990" w:rsidRDefault="00562990"/>
    <w:p w14:paraId="158559AC" w14:textId="77777777" w:rsidR="00562990" w:rsidRDefault="00000000">
      <w:r>
        <w:t>6. The coverage of baseline algorithms is incomplete. It does not compare with recent mainstream centralized RL algorithms (e.g., SAC, TD3) or MARL-driven scheduling algorithms, failing to fully highlight the advantages of the federated learning framework.</w:t>
      </w:r>
    </w:p>
    <w:p w14:paraId="37CDD5B4" w14:textId="77777777" w:rsidR="00562990" w:rsidRDefault="00562990"/>
    <w:p w14:paraId="6E8C3966" w14:textId="77777777" w:rsidR="00562990" w:rsidRDefault="00000000">
      <w:r>
        <w:rPr>
          <w:b/>
        </w:rPr>
        <w:t xml:space="preserve">Author Response: </w:t>
      </w:r>
      <w:r>
        <w:t>We sincerely thank the reviewer for this constructive feedback. In the revised manuscript, we address this concern as follows:</w:t>
      </w:r>
      <w:r>
        <w:br/>
      </w:r>
      <w:r>
        <w:br/>
        <w:t>(1) We added a dedicated paragraph titled "Centralized RL and MARL context" in Section II that explicitly discusses SAC [haarnoja2018sac], TD3 [fujimoto2018td3], and MAPPO [yu2021mappo] with proper citations. We explain why our orchestration problem—large, combinatorial placement decisions over heterogeneous edge servers under strict privacy and control-plane latency constraints—motivates a federated PPO approach rather than centralized off-policy methods.</w:t>
      </w:r>
      <w:r>
        <w:br/>
      </w:r>
      <w:r>
        <w:br/>
        <w:t>(2) We include CentralizedPPO as a directly comparable centralized RL baseline in all experiments (Tables II–III, all figures). CentralizedPPO uses the same observation construction and decision latency accounting as FedSemGNN, providing a fair centralized control comparison. Its results (130.35 ms latency, 72.5% fidelity, 3,099 W power) confirm that centralized single-agent RL achieves competitive reward but suffers from poor semantic fidelity and high latency compared to FedSemGNN.</w:t>
      </w:r>
      <w:r>
        <w:br/>
      </w:r>
      <w:r>
        <w:br/>
        <w:t>(3) We acknowledge in the Limitations section (Section VII) that expanding comparisons to SAC, TD3, and MAPPO variants is a natural direction for future work.</w:t>
      </w:r>
    </w:p>
    <w:p w14:paraId="1482E42F" w14:textId="77777777" w:rsidR="00562990" w:rsidRDefault="00562990"/>
    <w:p w14:paraId="7C78A8BA" w14:textId="77777777" w:rsidR="00562990" w:rsidRDefault="00000000">
      <w:r>
        <w:rPr>
          <w:b/>
        </w:rPr>
        <w:t>Changes in the Revised Manuscript:</w:t>
      </w:r>
    </w:p>
    <w:p w14:paraId="3BEDD69D" w14:textId="77777777" w:rsidR="00562990" w:rsidRDefault="00000000">
      <w:r>
        <w:rPr>
          <w:color w:val="00008B"/>
          <w:sz w:val="20"/>
        </w:rPr>
        <w:t>[Section II – Centralized RL and MARL context, new paragraph]</w:t>
      </w:r>
      <w:r>
        <w:rPr>
          <w:color w:val="00008B"/>
          <w:sz w:val="20"/>
        </w:rPr>
        <w:br/>
        <w:t xml:space="preserve">To contextualize our federated approach against mainstream centralized RL (e.g., SAC, TD3) and MARL scheduling: SAC [haarnoja2018sac] and TD3 [fujimoto2018td3] are widely used for continuous-control problems, while MAPPO [yu2021mappo] is a strong multi-agent PPO variant. Our orchestration action is a large, combinatorial placement decision over heterogeneous edge servers, </w:t>
      </w:r>
      <w:r>
        <w:rPr>
          <w:color w:val="00008B"/>
          <w:sz w:val="20"/>
        </w:rPr>
        <w:lastRenderedPageBreak/>
        <w:t>and our primary focus is privacy-preserving, topology-aware federation under strict control-plane latency. We therefore include a centralized PPO baseline as a directly comparable centralized policy-gradient control baseline (same observation construction and decision latency accounting) and discuss extensions to additional centralized RL and MARL baselines as future work.</w:t>
      </w:r>
      <w:r>
        <w:rPr>
          <w:color w:val="00008B"/>
          <w:sz w:val="20"/>
        </w:rPr>
        <w:br/>
      </w:r>
      <w:r>
        <w:rPr>
          <w:color w:val="00008B"/>
          <w:sz w:val="20"/>
        </w:rPr>
        <w:br/>
        <w:t>[Section VII – Limitations and Future Work]</w:t>
      </w:r>
      <w:r>
        <w:rPr>
          <w:color w:val="00008B"/>
          <w:sz w:val="20"/>
        </w:rPr>
        <w:br/>
        <w:t>Comparisons with five baselines (FlatFedPPO, HierFedPPO, HSQF, RandomPlacement, CentralizedPPO) establish federated orchestration advantages. Future work could expand to additional centralized RL methods (SAC, TD3) and MARL variants (MAPPO).</w:t>
      </w:r>
    </w:p>
    <w:p w14:paraId="2E4F265E" w14:textId="77777777" w:rsidR="00562990" w:rsidRDefault="00562990"/>
    <w:p w14:paraId="2D7FBC1E" w14:textId="77777777" w:rsidR="00562990" w:rsidRDefault="00000000">
      <w:r>
        <w:t>7. It does not explain the compatibility of the algorithm with existing 6G edge platforms, lacking engineering details such as interface design and deployment processes, making the landing difficulty unknown.</w:t>
      </w:r>
    </w:p>
    <w:p w14:paraId="186087D1" w14:textId="77777777" w:rsidR="00562990" w:rsidRDefault="00562990"/>
    <w:p w14:paraId="4A472A40" w14:textId="77777777" w:rsidR="00562990" w:rsidRDefault="00000000">
      <w:r>
        <w:rPr>
          <w:b/>
        </w:rPr>
        <w:t xml:space="preserve">Author Response: </w:t>
      </w:r>
      <w:r>
        <w:t>We sincerely thank the reviewer for this practical suggestion. In the revised manuscript, we have added a new subsection titled "Compatibility with Existing 6G Edge Platforms" (Section III.G) that describes FedSemGNN's interface design and deployment architecture. We clarify that FedSemGNN operates as a control-plane decision module that consumes telemetry from SDN controllers and edge orchestrators, and outputs placement/migration actions that can be enacted by container orchestrators (e.g., Kubernetes) or MEC platforms. We also describe the deployment model: the semantic encoder and policy inference run in a lightweight controller pod, while federated aggregation is implemented as a periodic background job across sites to respect privacy and bandwidth constraints.</w:t>
      </w:r>
    </w:p>
    <w:p w14:paraId="272CC479" w14:textId="77777777" w:rsidR="00562990" w:rsidRDefault="00562990"/>
    <w:p w14:paraId="7B7A2D05" w14:textId="77777777" w:rsidR="00562990" w:rsidRDefault="00000000">
      <w:r>
        <w:rPr>
          <w:b/>
        </w:rPr>
        <w:t>Changes in the Revised Manuscript:</w:t>
      </w:r>
    </w:p>
    <w:p w14:paraId="191E1B92" w14:textId="77777777" w:rsidR="00562990" w:rsidRDefault="00000000">
      <w:r>
        <w:rPr>
          <w:color w:val="00008B"/>
          <w:sz w:val="20"/>
        </w:rPr>
        <w:t>[Section III.G – Compatibility with Existing 6G Edge Platforms, new subsection]</w:t>
      </w:r>
      <w:r>
        <w:rPr>
          <w:color w:val="00008B"/>
          <w:sz w:val="20"/>
        </w:rPr>
        <w:br/>
        <w:t>FedSemGNN is designed as a control-plane decision module that consumes telemetry (resource utilization, link statistics, mobility context, and service descriptors) and outputs placement/migration actions. This interface aligns with common 6G edge stacks where monitoring and actuation are separated: telemetry can be collected from SDN controllers and edge orchestrators, while placements can be enacted by container orchestrators (e.g., Kubernetes) or MEC platforms. In deployment, the semantic encoder and policy inference can run in a lightweight controller pod; federated aggregation can be implemented as a periodic background job across sites (clusters) to respect privacy and bandwidth constraints.</w:t>
      </w:r>
    </w:p>
    <w:p w14:paraId="3314622B" w14:textId="77777777" w:rsidR="00562990" w:rsidRDefault="00562990"/>
    <w:p w14:paraId="3006D2F4" w14:textId="77777777" w:rsidR="00562990" w:rsidRDefault="00562990"/>
    <w:p w14:paraId="7DC0877E" w14:textId="77777777" w:rsidR="005854CD" w:rsidRDefault="005854CD"/>
    <w:p w14:paraId="10D7B17C" w14:textId="77777777" w:rsidR="00562990" w:rsidRDefault="00000000">
      <w:r>
        <w:rPr>
          <w:b/>
          <w:sz w:val="26"/>
        </w:rPr>
        <w:lastRenderedPageBreak/>
        <w:t>REVIEWER #: 2</w:t>
      </w:r>
    </w:p>
    <w:p w14:paraId="3DC0A987" w14:textId="77777777" w:rsidR="00562990" w:rsidRDefault="00000000">
      <w:r>
        <w:t>================================================================</w:t>
      </w:r>
    </w:p>
    <w:p w14:paraId="233484D3" w14:textId="77777777" w:rsidR="00562990" w:rsidRDefault="00000000">
      <w:r>
        <w:t>Reviewer #: 2: The paper presents a potentially interesting ML-based approach for efficient 6G edge computing orchestration.</w:t>
      </w:r>
    </w:p>
    <w:p w14:paraId="30D851E5" w14:textId="77777777" w:rsidR="00562990" w:rsidRDefault="00562990"/>
    <w:p w14:paraId="75CA7D5A" w14:textId="77777777" w:rsidR="00562990" w:rsidRDefault="00000000">
      <w:r>
        <w:t>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7437EA9E" w14:textId="77777777" w:rsidR="00562990" w:rsidRDefault="00562990"/>
    <w:p w14:paraId="2030923B" w14:textId="77777777" w:rsidR="00562990" w:rsidRDefault="00000000">
      <w:r>
        <w:t>As a minor comment, I kindly suggest to the author to carefully recheck the paper text to clean typos, missing bibliographical references, missing references to paper sections, etc.</w:t>
      </w:r>
    </w:p>
    <w:p w14:paraId="0266AB64" w14:textId="77777777" w:rsidR="00562990" w:rsidRDefault="00562990"/>
    <w:p w14:paraId="37C9D985" w14:textId="77777777" w:rsidR="00562990" w:rsidRDefault="00000000">
      <w:r>
        <w:rPr>
          <w:b/>
        </w:rPr>
        <w:t xml:space="preserve">Author Response: </w:t>
      </w:r>
      <w:r>
        <w:t>We sincerely thank the reviewer for their thoughtful and challenging feedback. We take this concern about novelty very seriously and have made substantial revisions to demonstrate that FedSemGNN is not merely an assembly of known ML tools but a principled framework with validated design choices.</w:t>
      </w:r>
      <w:r>
        <w:br/>
      </w:r>
      <w:r>
        <w:br/>
        <w:t>Regarding the "a priori fixed" parameters:</w:t>
      </w:r>
      <w:r>
        <w:br/>
      </w:r>
      <w:r>
        <w:br/>
        <w:t>(1) Semantic dimension d = 16: We added a dedicated sensitivity sweep (Table VI) over d ∈ {8, 16, 32}. The results show that d = 8 causes a significant fidelity drop to 75.8±8.0% (the reduced representation cannot reliably distinguish co-located service types), while d = 16 achieves 100.0±0.0% (optimal) and d = 32 yields 99.3±2.0% (minor noise from extra dimensions). This empirically justifies d = 16 as the optimal sweet spot, not an arbitrary choice.</w:t>
      </w:r>
      <w:r>
        <w:br/>
      </w:r>
      <w:r>
        <w:br/>
        <w:t>(2) Synchronization epochs K₁ = 10: Table VI sweeps K₁ ∈ {5, 10, 20}, showing stable 100% fidelity and constant latency across all settings, confirming complete robustness.</w:t>
      </w:r>
      <w:r>
        <w:br/>
      </w:r>
      <w:r>
        <w:lastRenderedPageBreak/>
        <w:br/>
        <w:t>(3) Buffer size B = 20,000: Table VI sweeps B ∈ {10K, 20K, 40K}, with all settings achieving 100% fidelity and identical latency, as PPO on-policy updates dominate experience replay dynamics.</w:t>
      </w:r>
      <w:r>
        <w:br/>
      </w:r>
      <w:r>
        <w:br/>
        <w:t>Regarding true innovation beyond known ML tools:</w:t>
      </w:r>
      <w:r>
        <w:br/>
      </w:r>
      <w:r>
        <w:br/>
        <w:t>FedSemGNN contributes several novel elements beyond combining existing components: (a) Priority-adaptive semantic thresholds (τ_i = clip(τ₀ + κ·(p_i − 0.5), 0.05, 0.95)) that dynamically adjust semantic acceptance criteria based on service urgency—a mechanism not present in prior work. (b) Priority-weighted reward (L_t^(w)) that directly incentivizes preferential treatment of emergency URLLC tasks. (c) The specific integration of continual semantic learning (EWC) with GNN topology encoding within a hierarchical federated PPO loop—to our knowledge, no existing system jointly integrates these three dimensions.</w:t>
      </w:r>
      <w:r>
        <w:br/>
      </w:r>
      <w:r>
        <w:br/>
        <w:t>Regarding scalability: We validated FedSemGNN at 7 scale points from 6 to 1,000 nodes (167× range). Semantic fidelity remains ~100% at all tested scales, orchestration latency stabilizes at ~30–31 ms regardless of network size, and computation time scales near-linearly. These are not small-scale toy results.</w:t>
      </w:r>
      <w:r>
        <w:br/>
      </w:r>
      <w:r>
        <w:br/>
        <w:t>Regarding the minor comment: We have carefully proofread the entire manuscript, verified all bibliographical references, checked all cross-references (37 \ref commands matched to \label targets), and corrected any typographical errors.</w:t>
      </w:r>
    </w:p>
    <w:p w14:paraId="55AA9404" w14:textId="77777777" w:rsidR="00562990" w:rsidRDefault="00562990"/>
    <w:p w14:paraId="0BFD3FFD" w14:textId="77777777" w:rsidR="00562990" w:rsidRDefault="00000000">
      <w:r>
        <w:rPr>
          <w:b/>
        </w:rPr>
        <w:t>Changes in the Revised Manuscript:</w:t>
      </w:r>
    </w:p>
    <w:p w14:paraId="0D8C7AEB" w14:textId="77777777" w:rsidR="00562990" w:rsidRDefault="00000000">
      <w:r>
        <w:rPr>
          <w:color w:val="00008B"/>
          <w:sz w:val="20"/>
        </w:rPr>
        <w:t>[Table VI – Sensitivity to architectural parameters (NEW), 50 steps, 100 nodes]</w:t>
      </w:r>
      <w:r>
        <w:rPr>
          <w:color w:val="00008B"/>
          <w:sz w:val="20"/>
        </w:rPr>
        <w:br/>
      </w:r>
      <w:r>
        <w:rPr>
          <w:color w:val="00008B"/>
          <w:sz w:val="20"/>
        </w:rPr>
        <w:br/>
        <w:t>Semantic dimension d:</w:t>
      </w:r>
      <w:r>
        <w:rPr>
          <w:color w:val="00008B"/>
          <w:sz w:val="20"/>
        </w:rPr>
        <w:br/>
        <w:t xml:space="preserve">  d = 8:  Fidelity 75.80±8.04%, Latency 30.61±0.00 ms</w:t>
      </w:r>
      <w:r>
        <w:rPr>
          <w:color w:val="00008B"/>
          <w:sz w:val="20"/>
        </w:rPr>
        <w:br/>
        <w:t xml:space="preserve">  d = 16: Fidelity 100.00±0.00%, Latency 30.61±0.00 ms  (default – optimal)</w:t>
      </w:r>
      <w:r>
        <w:rPr>
          <w:color w:val="00008B"/>
          <w:sz w:val="20"/>
        </w:rPr>
        <w:br/>
        <w:t xml:space="preserve">  d = 32: Fidelity 99.30±2.02%, Latency 30.61±0.00 ms</w:t>
      </w:r>
      <w:r>
        <w:rPr>
          <w:color w:val="00008B"/>
          <w:sz w:val="20"/>
        </w:rPr>
        <w:br/>
      </w:r>
      <w:r>
        <w:rPr>
          <w:color w:val="00008B"/>
          <w:sz w:val="20"/>
        </w:rPr>
        <w:br/>
        <w:t>Sync interval K₁:</w:t>
      </w:r>
      <w:r>
        <w:rPr>
          <w:color w:val="00008B"/>
          <w:sz w:val="20"/>
        </w:rPr>
        <w:br/>
        <w:t xml:space="preserve">  K₁ = 5:  Fidelity 100.00±0.00%, Latency 30.61±0.00 ms</w:t>
      </w:r>
      <w:r>
        <w:rPr>
          <w:color w:val="00008B"/>
          <w:sz w:val="20"/>
        </w:rPr>
        <w:br/>
        <w:t xml:space="preserve">  K₁ = 10: Fidelity 100.00±0.00%, Latency 30.61±0.00 ms  (default)</w:t>
      </w:r>
      <w:r>
        <w:rPr>
          <w:color w:val="00008B"/>
          <w:sz w:val="20"/>
        </w:rPr>
        <w:br/>
        <w:t xml:space="preserve">  K₁ = 20: Fidelity 100.00±0.00%, Latency 30.61±0.00 ms</w:t>
      </w:r>
      <w:r>
        <w:rPr>
          <w:color w:val="00008B"/>
          <w:sz w:val="20"/>
        </w:rPr>
        <w:br/>
      </w:r>
      <w:r>
        <w:rPr>
          <w:color w:val="00008B"/>
          <w:sz w:val="20"/>
        </w:rPr>
        <w:br/>
        <w:t>Buffer capacity B:</w:t>
      </w:r>
      <w:r>
        <w:rPr>
          <w:color w:val="00008B"/>
          <w:sz w:val="20"/>
        </w:rPr>
        <w:br/>
        <w:t xml:space="preserve">  B = 10,000: Fidelity 100.00±0.00%, Latency 30.61±0.00 ms</w:t>
      </w:r>
      <w:r>
        <w:rPr>
          <w:color w:val="00008B"/>
          <w:sz w:val="20"/>
        </w:rPr>
        <w:br/>
        <w:t xml:space="preserve">  B = 20,000: Fidelity 100.00±0.00%, Latency 30.61±0.00 ms  (default)</w:t>
      </w:r>
      <w:r>
        <w:rPr>
          <w:color w:val="00008B"/>
          <w:sz w:val="20"/>
        </w:rPr>
        <w:br/>
        <w:t xml:space="preserve">  B = 40,000: Fidelity 100.00±0.00%, Latency 30.61±0.00 ms</w:t>
      </w:r>
      <w:r>
        <w:rPr>
          <w:color w:val="00008B"/>
          <w:sz w:val="20"/>
        </w:rPr>
        <w:br/>
      </w:r>
      <w:r>
        <w:rPr>
          <w:color w:val="00008B"/>
          <w:sz w:val="20"/>
        </w:rPr>
        <w:br/>
        <w:t>[Section V.E – Parameter Sensitivity, discussion text]</w:t>
      </w:r>
      <w:r>
        <w:rPr>
          <w:color w:val="00008B"/>
          <w:sz w:val="20"/>
        </w:rPr>
        <w:br/>
      </w:r>
      <w:r>
        <w:rPr>
          <w:color w:val="00008B"/>
          <w:sz w:val="20"/>
        </w:rPr>
        <w:lastRenderedPageBreak/>
        <w:t>Table VI reports the sensitivity to the three architectural choices explicitly highlighted as a priori fixed: semantic embedding dimension d, intra-cluster synchronization interval K₁ (default 10 epochs), and prioritized replay-buffer capacity B (default 20,000). Halving the embedding dimension to d = 8 causes a significant fidelity drop to 75.8±8.0%, as the reduced representation cannot reliably distinguish co-located service types. The default d = 16 achieves perfect fidelity (100.0±0.0%), confirming that 16 dimensions provide optimal representation capacity for the service ontology.</w:t>
      </w:r>
      <w:r>
        <w:rPr>
          <w:color w:val="00008B"/>
          <w:sz w:val="20"/>
        </w:rPr>
        <w:br/>
      </w:r>
      <w:r>
        <w:rPr>
          <w:color w:val="00008B"/>
          <w:sz w:val="20"/>
        </w:rPr>
        <w:br/>
        <w:t>[Conclusion]</w:t>
      </w:r>
      <w:r>
        <w:rPr>
          <w:color w:val="00008B"/>
          <w:sz w:val="20"/>
        </w:rPr>
        <w:br/>
        <w:t>Only the semantic embedding dimension shows meaningful impact: d = 8 degrades fidelity to 75.8% while d = 16 (default) and d = 32 achieve ≥99.3%, confirming that the representation capacity is the critical architectural choice.</w:t>
      </w:r>
      <w:r>
        <w:rPr>
          <w:color w:val="00008B"/>
          <w:sz w:val="20"/>
        </w:rPr>
        <w:br/>
      </w:r>
      <w:r>
        <w:rPr>
          <w:color w:val="00008B"/>
          <w:sz w:val="20"/>
        </w:rPr>
        <w:br/>
        <w:t>[Section II – Positioning of Our Work]</w:t>
      </w:r>
      <w:r>
        <w:rPr>
          <w:color w:val="00008B"/>
          <w:sz w:val="20"/>
        </w:rPr>
        <w:br/>
        <w:t>To the best of our knowledge, no existing system jointly integrates semantic embeddings, GNN-based topology encoding, and hierarchical federated reinforcement learning within a unified orchestration framework.</w:t>
      </w:r>
    </w:p>
    <w:p w14:paraId="61545113" w14:textId="77777777" w:rsidR="00562990" w:rsidRDefault="00562990"/>
    <w:sectPr w:rsidR="005629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847561">
    <w:abstractNumId w:val="8"/>
  </w:num>
  <w:num w:numId="2" w16cid:durableId="1897542096">
    <w:abstractNumId w:val="6"/>
  </w:num>
  <w:num w:numId="3" w16cid:durableId="736904321">
    <w:abstractNumId w:val="5"/>
  </w:num>
  <w:num w:numId="4" w16cid:durableId="1292328000">
    <w:abstractNumId w:val="4"/>
  </w:num>
  <w:num w:numId="5" w16cid:durableId="1469668273">
    <w:abstractNumId w:val="7"/>
  </w:num>
  <w:num w:numId="6" w16cid:durableId="809397659">
    <w:abstractNumId w:val="3"/>
  </w:num>
  <w:num w:numId="7" w16cid:durableId="1393964606">
    <w:abstractNumId w:val="2"/>
  </w:num>
  <w:num w:numId="8" w16cid:durableId="24453674">
    <w:abstractNumId w:val="1"/>
  </w:num>
  <w:num w:numId="9" w16cid:durableId="31576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A70"/>
    <w:rsid w:val="0015074B"/>
    <w:rsid w:val="0029639D"/>
    <w:rsid w:val="00326F90"/>
    <w:rsid w:val="00562990"/>
    <w:rsid w:val="005854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B505B"/>
  <w14:defaultImageDpi w14:val="300"/>
  <w15:docId w15:val="{C9BDB26A-7D01-4531-9862-99ABBDD6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3078</Words>
  <Characters>17549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Qaiser Muhammad Abdur Rehman</cp:lastModifiedBy>
  <cp:revision>2</cp:revision>
  <dcterms:created xsi:type="dcterms:W3CDTF">2013-12-23T23:15:00Z</dcterms:created>
  <dcterms:modified xsi:type="dcterms:W3CDTF">2026-02-28T10:21:00Z</dcterms:modified>
  <cp:category/>
</cp:coreProperties>
</file>