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Corp - IT Guidelines</w:t>
      </w:r>
    </w:p>
    <w:p>
      <w:r>
        <w:t>1. Device Usage</w:t>
      </w:r>
    </w:p>
    <w:p>
      <w:r>
        <w:t>Company-issued devices must be used for official work purposes only.</w:t>
      </w:r>
    </w:p>
    <w:p>
      <w:r>
        <w:t>2. Password Policy</w:t>
      </w:r>
    </w:p>
    <w:p>
      <w:r>
        <w:t>Passwords must be at least 12 characters long and changed every 90 days.</w:t>
      </w:r>
    </w:p>
    <w:p>
      <w:r>
        <w:t>3. Data Security</w:t>
      </w:r>
    </w:p>
    <w:p>
      <w:r>
        <w:t>Sensitive company data must not be shared outside the organization without authorization.</w:t>
      </w:r>
    </w:p>
    <w:p>
      <w:r>
        <w:t>4. Email Policy</w:t>
      </w:r>
    </w:p>
    <w:p>
      <w:r>
        <w:t>Employees must avoid clicking suspicious links and report phishing attempts immediately.</w:t>
      </w:r>
    </w:p>
    <w:p>
      <w:r>
        <w:t>5. Software Installation</w:t>
      </w:r>
    </w:p>
    <w:p>
      <w:r>
        <w:t>Only approved software may be installed on company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