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A5C9B" w14:textId="77777777" w:rsidR="00FF529D" w:rsidRDefault="00FF529D" w:rsidP="00FF529D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3D09">
        <w:rPr>
          <w:rFonts w:ascii="Times New Roman" w:hAnsi="Times New Roman" w:cs="Times New Roman"/>
          <w:b/>
          <w:bCs/>
          <w:sz w:val="28"/>
          <w:szCs w:val="28"/>
          <w:u w:val="single"/>
        </w:rPr>
        <w:t>Анализ и оценка государственных программ и отраслевых политик: ОПК-4</w:t>
      </w:r>
    </w:p>
    <w:p w14:paraId="503FA935" w14:textId="77777777" w:rsidR="00FF529D" w:rsidRPr="006E667E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4B3CAF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1. Что включает в себя обязательный элемент оценки регулирующего развития «описание проблемы»?</w:t>
      </w:r>
    </w:p>
    <w:p w14:paraId="2263C4AA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описание сути проблемы и её последствий для общества</w:t>
      </w:r>
    </w:p>
    <w:p w14:paraId="687C8559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оценку издержек и выгод для всех участников процесса</w:t>
      </w:r>
    </w:p>
    <w:p w14:paraId="0C148E23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в) стратегию применения и оценки эффективности выбранной опции  </w:t>
      </w:r>
    </w:p>
    <w:p w14:paraId="0B9D9049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все вышеперечисленное</w:t>
      </w:r>
    </w:p>
    <w:p w14:paraId="36B50382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545489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2. Какое из утверждений относится к оценке проблемы согласно данному тексту?</w:t>
      </w:r>
    </w:p>
    <w:p w14:paraId="133C0276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а) проблема должна быть оценена исключительно с точки зрения воздействия на общество  </w:t>
      </w:r>
    </w:p>
    <w:p w14:paraId="0037118F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для анализа проблемы важно учитывать, кто выигрывает от сложившейся ситуации  </w:t>
      </w:r>
    </w:p>
    <w:p w14:paraId="5BA94043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последствия проблемы для отдельных лиц не учитываются</w:t>
      </w:r>
    </w:p>
    <w:p w14:paraId="071335B8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масштаб проблемы не имеет значения</w:t>
      </w:r>
    </w:p>
    <w:p w14:paraId="07007A83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689C94" w14:textId="6A39E2B3" w:rsidR="00FF529D" w:rsidRPr="003D0207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D0207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>3.</w:t>
      </w:r>
      <w:r w:rsidR="00563F2C" w:rsidRPr="003D0207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 xml:space="preserve"> ???</w:t>
      </w:r>
      <w:r w:rsidRPr="003D0207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 xml:space="preserve"> В каком порядке рассматриваются виды регулирования (опции)?</w:t>
      </w:r>
    </w:p>
    <w:p w14:paraId="204B9AF5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0207">
        <w:rPr>
          <w:rFonts w:ascii="Times New Roman" w:hAnsi="Times New Roman" w:cs="Times New Roman"/>
          <w:sz w:val="28"/>
          <w:szCs w:val="28"/>
        </w:rPr>
        <w:t>а) сначала</w:t>
      </w:r>
      <w:r w:rsidRPr="00DB3D09">
        <w:rPr>
          <w:rFonts w:ascii="Times New Roman" w:hAnsi="Times New Roman" w:cs="Times New Roman"/>
          <w:sz w:val="28"/>
          <w:szCs w:val="28"/>
        </w:rPr>
        <w:t xml:space="preserve"> анализируется возможность применения мер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нерегулятивного</w:t>
      </w:r>
      <w:proofErr w:type="spellEnd"/>
      <w:r w:rsidRPr="00DB3D09">
        <w:rPr>
          <w:rFonts w:ascii="Times New Roman" w:hAnsi="Times New Roman" w:cs="Times New Roman"/>
          <w:sz w:val="28"/>
          <w:szCs w:val="28"/>
        </w:rPr>
        <w:t xml:space="preserve"> характера, затем государственное регулирование</w:t>
      </w:r>
    </w:p>
    <w:p w14:paraId="0F845D88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сначала анализируются существующие законодательство и регулирование, затем меры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нерегулятивного</w:t>
      </w:r>
      <w:proofErr w:type="spellEnd"/>
      <w:r w:rsidRPr="00DB3D09">
        <w:rPr>
          <w:rFonts w:ascii="Times New Roman" w:hAnsi="Times New Roman" w:cs="Times New Roman"/>
          <w:sz w:val="28"/>
          <w:szCs w:val="28"/>
        </w:rPr>
        <w:t xml:space="preserve"> характера</w:t>
      </w:r>
    </w:p>
    <w:p w14:paraId="6404EA8B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в) сразу предлагается введение норм государственного регулирования </w:t>
      </w:r>
    </w:p>
    <w:p w14:paraId="2BA6C2EB" w14:textId="77777777" w:rsidR="00FF529D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анализ начинается с разработки новых законов</w:t>
      </w:r>
    </w:p>
    <w:p w14:paraId="379084D8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451348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4. Что такое саморегулирование согласно данному тексту?</w:t>
      </w:r>
    </w:p>
    <w:p w14:paraId="7B018F90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установление стандартов поведения и их соблюдение без участия государства</w:t>
      </w:r>
    </w:p>
    <w:p w14:paraId="05ED826C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принятие нормативных актов государством и контроль над их исполнением</w:t>
      </w:r>
    </w:p>
    <w:p w14:paraId="03B12D80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участие государства в разработке и соблюдении кодексов и правил</w:t>
      </w:r>
    </w:p>
    <w:p w14:paraId="3F2B26D2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использование судебных механизмов для контроля за соблюдением стандартов</w:t>
      </w:r>
    </w:p>
    <w:p w14:paraId="757D1D47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D92893" w14:textId="77777777" w:rsidR="00FF529D" w:rsidRPr="00DB3D09" w:rsidRDefault="00FF529D" w:rsidP="00FF529D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commentRangeStart w:id="0"/>
      <w:r w:rsidRPr="00563F2C">
        <w:rPr>
          <w:rFonts w:ascii="Times New Roman" w:hAnsi="Times New Roman" w:cs="Times New Roman"/>
          <w:b/>
          <w:sz w:val="28"/>
          <w:szCs w:val="28"/>
          <w:highlight w:val="yellow"/>
        </w:rPr>
        <w:t>5. Какой подход используется последним, когда другие методы регулирования оказываются неэффективными (несколько правильных вариантов ответа)?</w:t>
      </w:r>
      <w:commentRangeEnd w:id="0"/>
      <w:r w:rsidR="00563F2C">
        <w:rPr>
          <w:rStyle w:val="ac"/>
        </w:rPr>
        <w:commentReference w:id="0"/>
      </w:r>
    </w:p>
    <w:p w14:paraId="34F66BF1" w14:textId="77777777" w:rsidR="00FF529D" w:rsidRPr="00563F2C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F2C">
        <w:rPr>
          <w:rFonts w:ascii="Times New Roman" w:hAnsi="Times New Roman" w:cs="Times New Roman"/>
          <w:sz w:val="28"/>
          <w:szCs w:val="28"/>
        </w:rPr>
        <w:t>а) меры по распространению информации</w:t>
      </w:r>
    </w:p>
    <w:p w14:paraId="6C97BC8A" w14:textId="77777777" w:rsidR="00FF529D" w:rsidRPr="003D0207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3F2C">
        <w:rPr>
          <w:rFonts w:ascii="Times New Roman" w:hAnsi="Times New Roman" w:cs="Times New Roman"/>
          <w:sz w:val="28"/>
          <w:szCs w:val="28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альтернативные системы урегулирования споров принятие </w:t>
      </w:r>
      <w:r w:rsidRPr="003D0207">
        <w:rPr>
          <w:rFonts w:ascii="Times New Roman" w:hAnsi="Times New Roman" w:cs="Times New Roman"/>
          <w:sz w:val="28"/>
          <w:szCs w:val="28"/>
        </w:rPr>
        <w:t>нормативных актов государством и контроль над их исполнением</w:t>
      </w:r>
    </w:p>
    <w:p w14:paraId="1428D89F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0207">
        <w:rPr>
          <w:rFonts w:ascii="Times New Roman" w:hAnsi="Times New Roman" w:cs="Times New Roman"/>
          <w:sz w:val="28"/>
          <w:szCs w:val="28"/>
        </w:rPr>
        <w:t>в) разработка</w:t>
      </w:r>
      <w:r w:rsidRPr="00DB3D09">
        <w:rPr>
          <w:rFonts w:ascii="Times New Roman" w:hAnsi="Times New Roman" w:cs="Times New Roman"/>
          <w:sz w:val="28"/>
          <w:szCs w:val="28"/>
        </w:rPr>
        <w:t xml:space="preserve"> новых законов</w:t>
      </w:r>
    </w:p>
    <w:p w14:paraId="07395579" w14:textId="1FB02444" w:rsidR="00FF529D" w:rsidRPr="00DB3D09" w:rsidRDefault="00FF529D" w:rsidP="00563F2C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3F2C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введение норм государственного регулирования </w:t>
      </w:r>
    </w:p>
    <w:p w14:paraId="3D90BDED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 Какие элементы обязательно должны присутствовать в оценке регулирующего воздействия (ОРВ)? </w:t>
      </w:r>
    </w:p>
    <w:p w14:paraId="74D30510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описание проблемы, описание цели, стратегии применения</w:t>
      </w:r>
    </w:p>
    <w:p w14:paraId="5E761A17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опции для достижения цели, оценка издержек и выгод, консультации</w:t>
      </w:r>
    </w:p>
    <w:p w14:paraId="73D3D81E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все перечисленные элементы являются обязательными для ОРВ</w:t>
      </w:r>
    </w:p>
    <w:p w14:paraId="2116E917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только описание проблемы и рекомендации по её решению</w:t>
      </w:r>
    </w:p>
    <w:p w14:paraId="06F8EA4E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4168BD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7. Что включает в себя процесс оценки проблемы?</w:t>
      </w:r>
    </w:p>
    <w:p w14:paraId="665BC930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идентификацию причин возникновения проблемы и её последствий для общества</w:t>
      </w:r>
    </w:p>
    <w:p w14:paraId="6A422EEC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определение масштаба проблемы и тех, на кого она воздействует</w:t>
      </w:r>
    </w:p>
    <w:p w14:paraId="080EF093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понимание того, кто выигрывает от текущей ситуации и в какой мере</w:t>
      </w:r>
    </w:p>
    <w:p w14:paraId="402FECE7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все вышеперечисленные факторы входят в оценку проблемы</w:t>
      </w:r>
    </w:p>
    <w:p w14:paraId="09A027EC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283F95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8. Что представляет собой саморегулирование?</w:t>
      </w:r>
    </w:p>
    <w:p w14:paraId="031C0F79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прямое вмешательство государства в разработку и соблюдение стандартов</w:t>
      </w:r>
    </w:p>
    <w:p w14:paraId="668A4E5A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контроль со стороны государства за исполнением нормативных актов</w:t>
      </w:r>
    </w:p>
    <w:p w14:paraId="62ECB1C8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установление стандартов поведения и их соблюдение без прямого государственного вмешательства</w:t>
      </w:r>
    </w:p>
    <w:p w14:paraId="2D6D2365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альтернативные способы урегулирования споров через судебные механизмы</w:t>
      </w:r>
    </w:p>
    <w:p w14:paraId="4EF39615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D18CE7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63F2C">
        <w:rPr>
          <w:rFonts w:ascii="Times New Roman" w:hAnsi="Times New Roman" w:cs="Times New Roman"/>
          <w:b/>
          <w:sz w:val="28"/>
          <w:szCs w:val="28"/>
          <w:highlight w:val="yellow"/>
        </w:rPr>
        <w:t>9. Что подразумевает под собой квази-регулирование?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F175BA1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полностью независимое регулирование со стороны бизнеса</w:t>
      </w:r>
    </w:p>
    <w:p w14:paraId="0E22DD93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принудительное исполнение нормативных актов государственными органами</w:t>
      </w:r>
    </w:p>
    <w:p w14:paraId="6A9AF8B6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участие государства в обеспечении соблюдения кодексов и правил, разрабатываемых бизнесом</w:t>
      </w:r>
    </w:p>
    <w:p w14:paraId="564453AE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исключительно судебный надзор за соблюдением стандартов</w:t>
      </w:r>
    </w:p>
    <w:p w14:paraId="164B13D4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4468C8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10. Каким образом происходит выбор между различными видами регулирования?</w:t>
      </w:r>
    </w:p>
    <w:p w14:paraId="3074A669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а) сначала анализируют возможность применения мер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нерегулятивного</w:t>
      </w:r>
      <w:proofErr w:type="spellEnd"/>
      <w:r w:rsidRPr="00DB3D09">
        <w:rPr>
          <w:rFonts w:ascii="Times New Roman" w:hAnsi="Times New Roman" w:cs="Times New Roman"/>
          <w:sz w:val="28"/>
          <w:szCs w:val="28"/>
        </w:rPr>
        <w:t xml:space="preserve"> характера, затем переходят к государственному регулированию</w:t>
      </w:r>
    </w:p>
    <w:p w14:paraId="0620D740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сначала рассматривают вариант введения государственной регуляции</w:t>
      </w:r>
    </w:p>
    <w:p w14:paraId="34EE6235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сначала анализ существующих законодательств и регулирования, далее оценка возможности применения других подходов с меньшим вмешательством государства</w:t>
      </w:r>
    </w:p>
    <w:p w14:paraId="383A4852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выбор метода регулирования осуществляется случайным образом</w:t>
      </w:r>
    </w:p>
    <w:p w14:paraId="2EF54D0E" w14:textId="77777777" w:rsidR="00FF529D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526DA4" w14:textId="77777777" w:rsidR="00563F2C" w:rsidRDefault="00563F2C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C2B29D" w14:textId="77777777" w:rsidR="00563F2C" w:rsidRDefault="00563F2C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0C781D" w14:textId="77777777" w:rsidR="00563F2C" w:rsidRPr="00DB3D09" w:rsidRDefault="00563F2C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99CEB5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63F2C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11.</w:t>
      </w:r>
      <w:r w:rsidRPr="00563F2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63F2C">
        <w:rPr>
          <w:rFonts w:ascii="Times New Roman" w:hAnsi="Times New Roman" w:cs="Times New Roman"/>
          <w:b/>
          <w:sz w:val="28"/>
          <w:szCs w:val="28"/>
          <w:highlight w:val="yellow"/>
        </w:rPr>
        <w:t>Согласно постановлению Правительства РФ от 17 декабря 2012 года № 1318, какая степень регулирующего воздействия присваивается проекту нормативного правового акта, который устанавливает новые административные обязанности, запреты и ограничения для физических и юридических лиц?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E9BA736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низкая степень регулирующего воздействия</w:t>
      </w:r>
    </w:p>
    <w:p w14:paraId="046A719A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средняя степень регулирующего воздействия</w:t>
      </w:r>
    </w:p>
    <w:p w14:paraId="0294D027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высокая степень регулирующего воздействия</w:t>
      </w:r>
    </w:p>
    <w:p w14:paraId="22022C48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отсутствует классификация по степеням регулирующего воздействия</w:t>
      </w:r>
    </w:p>
    <w:p w14:paraId="48697DE8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0FFD28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12.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Что должно включать заключение об оценке регулирующего воздействия (ОРВ) на региональном уровне? </w:t>
      </w:r>
    </w:p>
    <w:p w14:paraId="0A6FB323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описание проблемы и возможные варианты её решения</w:t>
      </w:r>
    </w:p>
    <w:p w14:paraId="7A3803C1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цели регулирования и выгоды/издержки различных вариантов</w:t>
      </w:r>
    </w:p>
    <w:p w14:paraId="51F4EC3D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результаты консультаций и рекомендуемый вариант</w:t>
      </w:r>
    </w:p>
    <w:p w14:paraId="3C17B401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667E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все вышеперечисленное</w:t>
      </w:r>
    </w:p>
    <w:p w14:paraId="74616E04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C67F9F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13.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Какие критерии должна удовлетворять рекомендуемая опция в рамках ОРВ? </w:t>
      </w:r>
    </w:p>
    <w:p w14:paraId="521ACD74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административная сложность и жесткость</w:t>
      </w:r>
    </w:p>
    <w:p w14:paraId="6948BB0C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эффективность и стабильность</w:t>
      </w:r>
    </w:p>
    <w:p w14:paraId="263CA862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административная простота, гибкость и эффективность</w:t>
      </w:r>
    </w:p>
    <w:p w14:paraId="00147619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максимальная строгость и минимальные затраты</w:t>
      </w:r>
    </w:p>
    <w:p w14:paraId="2C033CEE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453182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14.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Какова цель раздела "Цели регулирования" в заключении об ОРВ на региональном уровне? </w:t>
      </w:r>
    </w:p>
    <w:p w14:paraId="60890E6F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определить возможные варианты достижения поставленных целей</w:t>
      </w:r>
    </w:p>
    <w:p w14:paraId="04FB99BC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описать проблему и риски, связанные с ней</w:t>
      </w:r>
    </w:p>
    <w:p w14:paraId="434579DE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определить основные цели регулирования в терминах ожидаемых результатов</w:t>
      </w:r>
    </w:p>
    <w:p w14:paraId="5B6118CE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провести консультации с заинтересованными сторонами</w:t>
      </w:r>
    </w:p>
    <w:p w14:paraId="37018AE7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3A8141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15.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Что включает в себя раздел "Консультации" в заключении об ОРВ на региональном уровне? </w:t>
      </w:r>
    </w:p>
    <w:p w14:paraId="4C7D8370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список возможных инструментов для достижения целей</w:t>
      </w:r>
    </w:p>
    <w:p w14:paraId="06283DF3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количественную оценку выгод и издержек каждого варианта</w:t>
      </w:r>
    </w:p>
    <w:p w14:paraId="50DD5A15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информацию о проведенных встреч с заинтересованными сторонами и результатах этих встреч</w:t>
      </w:r>
    </w:p>
    <w:p w14:paraId="56D5CA6B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план реализации выбранного варианта и последующего мониторинга</w:t>
      </w:r>
    </w:p>
    <w:p w14:paraId="79C239AE" w14:textId="77777777" w:rsidR="00FF529D" w:rsidRDefault="00FF529D" w:rsidP="00430B56">
      <w:pPr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090139" w14:textId="77777777" w:rsidR="00430B56" w:rsidRDefault="00430B56" w:rsidP="00430B56">
      <w:pPr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1A57AB" w14:textId="77777777" w:rsidR="00430B56" w:rsidRDefault="00430B56" w:rsidP="00430B56">
      <w:pPr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F13FB7" w14:textId="77777777" w:rsidR="00430B56" w:rsidRDefault="00430B56" w:rsidP="00430B56">
      <w:pPr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432088" w14:textId="77777777" w:rsidR="00430B56" w:rsidRPr="00DB3D09" w:rsidRDefault="00430B56" w:rsidP="00430B56">
      <w:pPr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2BC677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lastRenderedPageBreak/>
        <w:t>16.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>Какие задачи выполняет процедура оценки регулирующего воздействия (ОРВ)?</w:t>
      </w:r>
    </w:p>
    <w:p w14:paraId="49699F9E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прогнозирование последствий принятого регулирования</w:t>
      </w:r>
    </w:p>
    <w:p w14:paraId="741D48D0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обеспечение обратной связи с участниками отношений</w:t>
      </w:r>
    </w:p>
    <w:p w14:paraId="227F3A4B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оценка возможных рисков</w:t>
      </w:r>
    </w:p>
    <w:p w14:paraId="05EC03ED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все вышеперечисленное</w:t>
      </w:r>
    </w:p>
    <w:p w14:paraId="4A5F42CF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92E361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0B56">
        <w:rPr>
          <w:rFonts w:ascii="Times New Roman" w:hAnsi="Times New Roman" w:cs="Times New Roman"/>
          <w:b/>
          <w:sz w:val="28"/>
          <w:szCs w:val="28"/>
          <w:highlight w:val="yellow"/>
        </w:rPr>
        <w:t>17.</w:t>
      </w:r>
      <w:r w:rsidRPr="00430B5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30B56">
        <w:rPr>
          <w:rFonts w:ascii="Times New Roman" w:hAnsi="Times New Roman" w:cs="Times New Roman"/>
          <w:b/>
          <w:sz w:val="28"/>
          <w:szCs w:val="28"/>
          <w:highlight w:val="yellow"/>
        </w:rPr>
        <w:t>Проекты каких актов подлежат оценке регулирующего воздействия?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529D474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акты, регулирующие отношения в области налогообложения</w:t>
      </w:r>
    </w:p>
    <w:p w14:paraId="60C86CA3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акты, регулирующие отношения в области организации и осуществления государственного контроля</w:t>
      </w:r>
    </w:p>
    <w:p w14:paraId="03FC84DB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акты, регулирующие отношения в области оценки соответствия и безопасности производственных процессов</w:t>
      </w:r>
    </w:p>
    <w:p w14:paraId="09817EA8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все вышеперечисленные акты</w:t>
      </w:r>
    </w:p>
    <w:p w14:paraId="47E4B63E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303FBE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18.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Что является одной из задач ОРВ? </w:t>
      </w:r>
    </w:p>
    <w:p w14:paraId="520A1FFC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привлечение дополнительных инвестиций</w:t>
      </w:r>
    </w:p>
    <w:p w14:paraId="6979D6B8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увеличение налоговой нагрузки</w:t>
      </w:r>
    </w:p>
    <w:p w14:paraId="022F3853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осуществление предварительного прогнозного анализа последствий и эффектов предлагаемого регулирования</w:t>
      </w:r>
    </w:p>
    <w:p w14:paraId="689075B5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повышение уровня бюрократии</w:t>
      </w:r>
    </w:p>
    <w:p w14:paraId="09008B62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EFE4EC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19.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Что не входит в перечень задач ОРВ? </w:t>
      </w:r>
    </w:p>
    <w:p w14:paraId="322E2606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обоснование предлагаемого регулирования</w:t>
      </w:r>
    </w:p>
    <w:p w14:paraId="2F758A6C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оценка возможных рисков</w:t>
      </w:r>
    </w:p>
    <w:p w14:paraId="4B4C2DB2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повышение тарифов на коммунальные услуги</w:t>
      </w:r>
    </w:p>
    <w:p w14:paraId="4481E50C" w14:textId="77777777" w:rsidR="00FF529D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обеспечение обратной связи с участниками отношений</w:t>
      </w:r>
    </w:p>
    <w:p w14:paraId="463CDFF7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68E212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20.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Что подлежит оценке регулирующего воздействия? </w:t>
      </w:r>
    </w:p>
    <w:p w14:paraId="5AB59020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проекты актов, регулирующие отношения в области здравоохранения</w:t>
      </w:r>
    </w:p>
    <w:p w14:paraId="0266EF53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проекты актов, регулирующие отношения в области образования</w:t>
      </w:r>
    </w:p>
    <w:p w14:paraId="41F7F282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проекты актов, регулирующие отношения в области порядка и правил регулирования таможенного дела в Российской Федерации</w:t>
      </w:r>
    </w:p>
    <w:p w14:paraId="601F3746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проекты актов, регулирующие отношения в области культуры</w:t>
      </w:r>
    </w:p>
    <w:p w14:paraId="2898654D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7311E3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21.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Что представляют собой ресурсы в контексте логической модели программы? </w:t>
      </w:r>
    </w:p>
    <w:p w14:paraId="4E822647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люди, группы людей или организации, на которых распространяются результаты программы</w:t>
      </w:r>
    </w:p>
    <w:p w14:paraId="72035286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продукты действий программы</w:t>
      </w:r>
    </w:p>
    <w:p w14:paraId="0481CBA1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изменения, которые происходят с клиентами программы</w:t>
      </w:r>
    </w:p>
    <w:p w14:paraId="026D972A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средства, которые используются программой для выполнения своей миссии</w:t>
      </w:r>
    </w:p>
    <w:p w14:paraId="414CD829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0D75B0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lastRenderedPageBreak/>
        <w:t>22.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Что означает термин непосредственные результаты в логической модели программы? </w:t>
      </w:r>
    </w:p>
    <w:p w14:paraId="6B68B4C8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ресурсы, используемые программой</w:t>
      </w:r>
    </w:p>
    <w:p w14:paraId="2AEC4050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действия, выполняемые программой</w:t>
      </w:r>
    </w:p>
    <w:p w14:paraId="446C0704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продукты действий программы</w:t>
      </w:r>
    </w:p>
    <w:p w14:paraId="7F560901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внешние факторы, влияющие на программу</w:t>
      </w:r>
    </w:p>
    <w:p w14:paraId="22A4626D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60BB34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23.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Что включают в себя внешние факторы в контексте логической модели программы? </w:t>
      </w:r>
    </w:p>
    <w:p w14:paraId="74FA77EE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клиентов программы</w:t>
      </w:r>
    </w:p>
    <w:p w14:paraId="47D7CE96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результаты изменений у клиентов программы</w:t>
      </w:r>
    </w:p>
    <w:p w14:paraId="3D1D2456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ресурсы, необходимые для выполнения программы</w:t>
      </w:r>
    </w:p>
    <w:p w14:paraId="2207DAE6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параметры ситуации, находящиеся вне контроля исполнителей программы</w:t>
      </w:r>
    </w:p>
    <w:p w14:paraId="2265735C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07670A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24.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Что такое мониторинг программы? </w:t>
      </w:r>
    </w:p>
    <w:p w14:paraId="1C08C393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процесс сбора информации о ходе выполнения программы для оценки её успешности и использования фондов</w:t>
      </w:r>
    </w:p>
    <w:p w14:paraId="1743A92F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сбор данных о характеристиках программы для вынесения суждений о её качестве</w:t>
      </w:r>
    </w:p>
    <w:p w14:paraId="19BE2E31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проверка соблюдения управленческих стандартов и правил в организации</w:t>
      </w:r>
    </w:p>
    <w:p w14:paraId="2FFED788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постоянный и систематический сбор информации о значениях заранее выбранных индикаторов для обеспечения руководителей и других заинтересованных сторон сведениями о том, насколько успешно выполняется программа, в какой степени достигаются поставленные цели и как используются фонды, выделенные на данную программу</w:t>
      </w:r>
    </w:p>
    <w:p w14:paraId="5E9F4C0E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359226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25.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Чем отличается аудит от оценки программы? </w:t>
      </w:r>
    </w:p>
    <w:p w14:paraId="42348635" w14:textId="77777777" w:rsidR="00FF529D" w:rsidRPr="00DB3D09" w:rsidRDefault="00FF529D" w:rsidP="00FF529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аудит оценивает экономическую эффективность программы, а оценка проверяет соблюдение стандартов</w:t>
      </w:r>
    </w:p>
    <w:p w14:paraId="740D8740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аудит фокусируется на проверке финансовой отчетности, а оценка – на анализе результатов программы</w:t>
      </w:r>
    </w:p>
    <w:p w14:paraId="460AA6F3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EA0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аудит рассматривает, как организация использует свои активы и соблюдает ли управленческие стандарты, тогда как оценка изучает, что и почему делают программы и организации, и способствует извлечению знаний из практического опыта</w:t>
      </w:r>
    </w:p>
    <w:p w14:paraId="21B38621" w14:textId="77777777" w:rsidR="00FF529D" w:rsidRPr="00DB3D09" w:rsidRDefault="00FF529D" w:rsidP="00FF529D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аудит и оценка выполняют одинаковые функции, различаясь лишь методами сбора информации</w:t>
      </w:r>
    </w:p>
    <w:p w14:paraId="749F814D" w14:textId="77777777" w:rsidR="000F01EB" w:rsidRPr="00FF529D" w:rsidRDefault="000F01EB" w:rsidP="00FF52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F01EB" w:rsidRPr="00FF52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Юсупова Лилия Рафиковна" w:date="2026-06-02T13:16:00Z" w:initials="ЛЮ">
    <w:p w14:paraId="316CF403" w14:textId="5D12D1C4" w:rsidR="00563F2C" w:rsidRDefault="00563F2C">
      <w:pPr>
        <w:pStyle w:val="ad"/>
      </w:pPr>
      <w:r>
        <w:rPr>
          <w:rStyle w:val="ac"/>
        </w:rPr>
        <w:annotationRef/>
      </w:r>
      <w:r>
        <w:t>У Валерии неправильно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6CF4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5EC0DB1" w16cex:dateUtc="2026-06-02T1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6CF403" w16cid:durableId="05EC0DB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Юсупова Лилия Рафиковна">
    <w15:presenceInfo w15:providerId="AD" w15:userId="S::ULR@1655089097.onmicrosoft.com::2a27f60b-1076-4c6c-aca6-292169dd44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9D"/>
    <w:rsid w:val="000373F8"/>
    <w:rsid w:val="00044A3F"/>
    <w:rsid w:val="000F01EB"/>
    <w:rsid w:val="000F16FA"/>
    <w:rsid w:val="001A5645"/>
    <w:rsid w:val="003D0207"/>
    <w:rsid w:val="003D102D"/>
    <w:rsid w:val="00415242"/>
    <w:rsid w:val="00430B56"/>
    <w:rsid w:val="004B2F7E"/>
    <w:rsid w:val="00563F2C"/>
    <w:rsid w:val="00597B14"/>
    <w:rsid w:val="008A42FC"/>
    <w:rsid w:val="00B23DAC"/>
    <w:rsid w:val="00B33D7E"/>
    <w:rsid w:val="00DC4BD9"/>
    <w:rsid w:val="00EF56AA"/>
    <w:rsid w:val="00FF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D3870"/>
  <w15:chartTrackingRefBased/>
  <w15:docId w15:val="{299F2BE2-2396-4678-9970-796C0BE1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29D"/>
    <w:pPr>
      <w:spacing w:after="200" w:line="276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aliases w:val="стандарт для заголовка"/>
    <w:basedOn w:val="a"/>
    <w:next w:val="a"/>
    <w:link w:val="10"/>
    <w:uiPriority w:val="9"/>
    <w:qFormat/>
    <w:rsid w:val="00597B14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  <w:outlineLvl w:val="0"/>
    </w:pPr>
    <w:rPr>
      <w:rFonts w:asciiTheme="minorHAnsi" w:eastAsiaTheme="majorEastAsia" w:hAnsiTheme="minorHAnsi" w:cstheme="majorBidi"/>
      <w:b/>
      <w:kern w:val="2"/>
      <w:sz w:val="28"/>
      <w:szCs w:val="32"/>
      <w:u w:color="000000"/>
      <w:lang w:eastAsia="en-US"/>
      <w14:textOutline w14:w="12700" w14:cap="flat" w14:cmpd="sng" w14:algn="ctr">
        <w14:noFill/>
        <w14:prstDash w14:val="solid"/>
        <w14:miter w14:lim="400000"/>
      </w14:textOutline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6AA"/>
    <w:pPr>
      <w:keepNext/>
      <w:keepLines/>
      <w:spacing w:after="16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29D"/>
    <w:pPr>
      <w:keepNext/>
      <w:keepLines/>
      <w:spacing w:before="160" w:after="80" w:line="360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29D"/>
    <w:pPr>
      <w:keepNext/>
      <w:keepLines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29D"/>
    <w:pPr>
      <w:keepNext/>
      <w:keepLines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29D"/>
    <w:pPr>
      <w:keepNext/>
      <w:keepLines/>
      <w:spacing w:before="40" w:after="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29D"/>
    <w:pPr>
      <w:keepNext/>
      <w:keepLines/>
      <w:spacing w:before="40" w:after="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29D"/>
    <w:pPr>
      <w:keepNext/>
      <w:keepLines/>
      <w:spacing w:after="0"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29D"/>
    <w:pPr>
      <w:keepNext/>
      <w:keepLines/>
      <w:spacing w:after="0"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EF56A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10">
    <w:name w:val="Заголовок 1 Знак"/>
    <w:aliases w:val="стандарт для заголовка Знак"/>
    <w:basedOn w:val="a0"/>
    <w:link w:val="1"/>
    <w:uiPriority w:val="9"/>
    <w:rsid w:val="00597B14"/>
    <w:rPr>
      <w:rFonts w:eastAsiaTheme="majorEastAsia" w:cstheme="majorBidi"/>
      <w:b/>
      <w:sz w:val="28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30">
    <w:name w:val="Заголовок 3 Знак"/>
    <w:basedOn w:val="a0"/>
    <w:link w:val="3"/>
    <w:uiPriority w:val="9"/>
    <w:semiHidden/>
    <w:rsid w:val="00FF529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F529D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F529D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F529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F529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F529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F529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F529D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FF529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F529D"/>
    <w:pPr>
      <w:numPr>
        <w:ilvl w:val="1"/>
      </w:numPr>
      <w:spacing w:after="160" w:line="36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FF529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F529D"/>
    <w:pPr>
      <w:spacing w:before="160" w:after="160" w:line="36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FF529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FF529D"/>
    <w:pPr>
      <w:spacing w:after="0" w:line="360" w:lineRule="auto"/>
      <w:ind w:left="720"/>
      <w:contextualSpacing/>
      <w:jc w:val="both"/>
    </w:pPr>
    <w:rPr>
      <w:rFonts w:ascii="Times New Roman" w:eastAsiaTheme="minorHAnsi" w:hAnsi="Times New Roman" w:cstheme="minorBidi"/>
      <w:sz w:val="28"/>
      <w:lang w:eastAsia="en-US"/>
    </w:rPr>
  </w:style>
  <w:style w:type="character" w:styleId="a8">
    <w:name w:val="Intense Emphasis"/>
    <w:basedOn w:val="a0"/>
    <w:uiPriority w:val="21"/>
    <w:qFormat/>
    <w:rsid w:val="00FF52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5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 w:val="28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FF529D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FF529D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563F2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63F2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63F2C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63F2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63F2C"/>
    <w:rPr>
      <w:rFonts w:ascii="Calibri" w:eastAsia="Calibri" w:hAnsi="Calibri" w:cs="Calibri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2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1317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Юсупова Лилия Рафиковна</dc:creator>
  <cp:keywords/>
  <dc:description/>
  <cp:lastModifiedBy>Madina Nasredinova</cp:lastModifiedBy>
  <cp:revision>3</cp:revision>
  <dcterms:created xsi:type="dcterms:W3CDTF">2026-06-02T09:51:00Z</dcterms:created>
  <dcterms:modified xsi:type="dcterms:W3CDTF">2026-06-12T17:11:00Z</dcterms:modified>
</cp:coreProperties>
</file>