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500"/>
        <w:jc w:val="center"/>
      </w:pPr>
      <w:r>
        <w:rPr>
          <w:rFonts w:ascii="Georgia" w:cs="Georgia" w:eastAsia="Georgia" w:hAnsi="Georgia"/>
          <w:b/>
          <w:bCs/>
          <w:color w:val="0A1628"/>
          <w:sz w:val="60"/>
          <w:szCs w:val="60"/>
        </w:rPr>
        <w:t xml:space="preserve">HERALDO</w:t>
      </w:r>
    </w:p>
    <w:p>
      <w:pPr>
        <w:spacing w:after="80" w:before="0"/>
        <w:jc w:val="center"/>
      </w:pPr>
      <w:r>
        <w:rPr>
          <w:rFonts w:ascii="Georgia" w:cs="Georgia" w:eastAsia="Georgia" w:hAnsi="Georgia"/>
          <w:b/>
          <w:bCs/>
          <w:color w:val="C8962E"/>
          <w:sz w:val="28"/>
          <w:szCs w:val="28"/>
        </w:rPr>
        <w:t xml:space="preserve">Cahier des Charges Fonctionnel — Version 3.0</w:t>
      </w:r>
    </w:p>
    <w:p>
      <w:pPr>
        <w:spacing w:after="400" w:before="0"/>
        <w:jc w:val="center"/>
      </w:pPr>
      <w:r>
        <w:rPr>
          <w:rFonts w:ascii="Calibri" w:cs="Calibri" w:eastAsia="Calibri" w:hAnsi="Calibri"/>
          <w:i/>
          <w:iCs/>
          <w:color w:val="64748B"/>
          <w:sz w:val="20"/>
          <w:szCs w:val="20"/>
        </w:rPr>
        <w:t xml:space="preserve">Écosystème complet — 10 modules — AUXX SAS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Référence</w:t>
            </w:r>
          </w:p>
        </w:tc>
        <w:tc>
          <w:tcPr>
            <w:tcW w:type="dxa" w:w="60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HP-CDC-FONC-V3-2026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Version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3.0 — Intégration M10 AGENCE</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Supersède</w:t>
            </w:r>
          </w:p>
        </w:tc>
        <w:tc>
          <w:tcPr>
            <w:tcW w:type="dxa" w:w="60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HP-CDC-FONC-V2-2026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Éditeur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AUXX SAS — Abidjan, Côte d'Ivoire</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Modules</w:t>
            </w:r>
          </w:p>
        </w:tc>
        <w:tc>
          <w:tcPr>
            <w:tcW w:type="dxa" w:w="60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M1 à M10 — Écosystème complet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Date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Avril 2026</w:t>
            </w:r>
          </w:p>
        </w:tc>
      </w:tr>
    </w:tbl>
    <w:p>
      <w:pPr>
        <w:spacing w:after="200" w:before="300"/>
      </w:pPr>
      <w:r>
        <w:t xml:space="preserve"/>
      </w:r>
    </w:p>
    <w:p>
      <w:r>
        <w:br w:type="page"/>
      </w:r>
    </w:p>
    <w:sdt>
      <w:sdtPr>
        <w:alias w:val="Sommaire"/>
      </w:sdtPr>
      <w:sdtContent>
        <w:p>
          <w:r>
            <w:fldChar w:fldCharType="begin" w:dirty="true"/>
            <w:instrText xml:space="preserve">TOC \h \o "1-3"</w:instrText>
            <w:fldChar w:fldCharType="separate"/>
          </w:r>
        </w:p>
        <w:p>
          <w:r>
            <w:fldChar w:fldCharType="end"/>
          </w:r>
        </w:p>
      </w:sdtContent>
    </w:sdt>
    <w:p>
      <w:r>
        <w:br w:type="page"/>
      </w:r>
    </w:p>
    <w:p>
      <w:pPr>
        <w:pBdr>
          <w:bottom w:val="single" w:color="C8962E" w:sz="8" w:space="6"/>
        </w:pBdr>
        <w:spacing w:after="200" w:before="480"/>
      </w:pPr>
      <w:r>
        <w:rPr>
          <w:rFonts w:ascii="Georgia" w:cs="Georgia" w:eastAsia="Georgia" w:hAnsi="Georgia"/>
          <w:b/>
          <w:bCs/>
          <w:color w:val="0A1628"/>
          <w:sz w:val="32"/>
          <w:szCs w:val="32"/>
        </w:rPr>
        <w:t xml:space="preserve">1. Vision et architecture globale</w:t>
      </w:r>
    </w:p>
    <w:p>
      <w:pPr>
        <w:spacing w:after="140" w:before="320"/>
      </w:pPr>
      <w:r>
        <w:rPr>
          <w:rFonts w:ascii="Georgia" w:cs="Georgia" w:eastAsia="Georgia" w:hAnsi="Georgia"/>
          <w:b/>
          <w:bCs/>
          <w:color w:val="1A3A5C"/>
          <w:sz w:val="26"/>
          <w:szCs w:val="26"/>
        </w:rPr>
        <w:t xml:space="preserve">1.1 Positionnement</w:t>
      </w:r>
    </w:p>
    <w:p>
      <w:pPr>
        <w:spacing w:after="80" w:before="80"/>
        <w:jc w:val="both"/>
      </w:pPr>
      <w:r>
        <w:rPr>
          <w:rFonts w:ascii="Calibri" w:cs="Calibri" w:eastAsia="Calibri" w:hAnsi="Calibri"/>
          <w:sz w:val="22"/>
          <w:szCs w:val="22"/>
        </w:rPr>
        <w:t xml:space="preserve">HERALDO est la plateforme de communication institutionnelle officielle des institutions d'Afrique de l'Ouest, éditée par AUXX SAS. En V3, l'écosystème couvre deux segments distincts : les institutions publiques (M1 à M9) et les professionnels de la communication qui les servent (M10 AGENCE).</w:t>
      </w:r>
    </w:p>
    <w:p>
      <w:pPr>
        <w:spacing w:after="4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962E" w:sz="2"/>
              <w:left w:val="single" w:color="C8962E" w:sz="14"/>
              <w:bottom w:val="single" w:color="C8962E" w:sz="2"/>
              <w:right w:val="none" w:color="FFFFFF" w:sz="0"/>
            </w:tcBorders>
            <w:shd w:fill="EEF4FA" w:val="clear"/>
            <w:tcMar>
              <w:top w:type="dxa" w:w="160"/>
              <w:left w:type="dxa" w:w="240"/>
              <w:bottom w:type="dxa" w:w="160"/>
              <w:right w:type="dxa" w:w="240"/>
            </w:tcMar>
          </w:tcPr>
          <w:p>
            <w:pPr>
              <w:jc w:val="both"/>
            </w:pPr>
            <w:r>
              <w:rPr>
                <w:rFonts w:ascii="Calibri" w:cs="Calibri" w:eastAsia="Calibri" w:hAnsi="Calibri"/>
                <w:i/>
                <w:iCs/>
                <w:sz w:val="22"/>
                <w:szCs w:val="22"/>
              </w:rPr>
              <w:t xml:space="preserve">Principe fondateur : HERALDO entre par la communication de presse, crée la dépendance par la valeur, s'enrichit progressivement. Le module M10 AGENCE crée un effet de réseau puissant : chaque attaché de presse converti devient un ambassadeur HERALDO auprès de ses clients institutionnels.</w:t>
            </w:r>
          </w:p>
        </w:tc>
      </w:tr>
    </w:tbl>
    <w:p>
      <w:pPr>
        <w:spacing w:after="80" w:before="120"/>
      </w:pPr>
      <w:r>
        <w:t xml:space="preserve"/>
      </w:r>
    </w:p>
    <w:p>
      <w:pPr>
        <w:spacing w:after="140" w:before="320"/>
      </w:pPr>
      <w:r>
        <w:rPr>
          <w:rFonts w:ascii="Georgia" w:cs="Georgia" w:eastAsia="Georgia" w:hAnsi="Georgia"/>
          <w:b/>
          <w:bCs/>
          <w:color w:val="1A3A5C"/>
          <w:sz w:val="26"/>
          <w:szCs w:val="26"/>
        </w:rPr>
        <w:t xml:space="preserve">1.2 Les 10 modules — Vue d'ensemble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2400"/>
        <w:gridCol w:w="1213"/>
        <w:gridCol w:w="1213"/>
        <w:gridCol w:w="1000"/>
      </w:tblGrid>
      <w:tr>
        <w:tc>
          <w:tcPr>
            <w:tcW w:type="dxa" w:w="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Module</w:t>
            </w:r>
          </w:p>
        </w:tc>
        <w:tc>
          <w:tcPr>
            <w:tcW w:type="dxa" w:w="24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Usage</w:t>
            </w:r>
          </w:p>
        </w:tc>
        <w:tc>
          <w:tcPr>
            <w:tcW w:type="dxa" w:w="1213"/>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Cible</w:t>
            </w:r>
          </w:p>
        </w:tc>
        <w:tc>
          <w:tcPr>
            <w:tcW w:type="dxa" w:w="1213"/>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Priorité</w:t>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Version</w:t>
            </w:r>
          </w:p>
        </w:tc>
      </w:tr>
      <w:tr>
        <w:tc>
          <w:tcPr>
            <w:tcW w:type="dxa" w:w="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M1</w:t>
            </w:r>
          </w:p>
        </w:tc>
        <w:tc>
          <w:tcPr>
            <w:tcW w:type="dxa" w:w="2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PRESS</w:t>
            </w:r>
          </w:p>
        </w:tc>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Communication presse externe</w:t>
            </w:r>
          </w:p>
        </w:tc>
        <w:tc>
          <w:tcPr>
            <w:tcW w:type="dxa" w:w="12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Institution</w:t>
            </w:r>
          </w:p>
        </w:tc>
        <w:tc>
          <w:tcPr>
            <w:tcW w:type="dxa" w:w="12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P0</w:t>
            </w:r>
          </w:p>
        </w:tc>
        <w:tc>
          <w:tcPr>
            <w:tcW w:type="dxa" w:w="1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V1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RÉSEAU</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Directions régionales</w:t>
            </w:r>
          </w:p>
        </w:tc>
        <w:tc>
          <w:tcPr>
            <w:tcW w:type="dxa" w:w="12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Institution</w:t>
            </w:r>
          </w:p>
        </w:tc>
        <w:tc>
          <w:tcPr>
            <w:tcW w:type="dxa" w:w="12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V1</w:t>
            </w:r>
          </w:p>
        </w:tc>
      </w:tr>
      <w:tr>
        <w:tc>
          <w:tcPr>
            <w:tcW w:type="dxa" w:w="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M3</w:t>
            </w:r>
          </w:p>
        </w:tc>
        <w:tc>
          <w:tcPr>
            <w:tcW w:type="dxa" w:w="2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INTERNE</w:t>
            </w:r>
          </w:p>
        </w:tc>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Notes de service</w:t>
            </w:r>
          </w:p>
        </w:tc>
        <w:tc>
          <w:tcPr>
            <w:tcW w:type="dxa" w:w="12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Institution</w:t>
            </w:r>
          </w:p>
        </w:tc>
        <w:tc>
          <w:tcPr>
            <w:tcW w:type="dxa" w:w="12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P0</w:t>
            </w:r>
          </w:p>
        </w:tc>
        <w:tc>
          <w:tcPr>
            <w:tcW w:type="dxa" w:w="1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V1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LIVE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Conférences hybrides</w:t>
            </w:r>
          </w:p>
        </w:tc>
        <w:tc>
          <w:tcPr>
            <w:tcW w:type="dxa" w:w="12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Institution</w:t>
            </w:r>
          </w:p>
        </w:tc>
        <w:tc>
          <w:tcPr>
            <w:tcW w:type="dxa" w:w="12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V1</w:t>
            </w:r>
          </w:p>
        </w:tc>
      </w:tr>
      <w:tr>
        <w:tc>
          <w:tcPr>
            <w:tcW w:type="dxa" w:w="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M5</w:t>
            </w:r>
          </w:p>
        </w:tc>
        <w:tc>
          <w:tcPr>
            <w:tcW w:type="dxa" w:w="2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VEILLE</w:t>
            </w:r>
          </w:p>
        </w:tc>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Surveillance médiatique</w:t>
            </w:r>
          </w:p>
        </w:tc>
        <w:tc>
          <w:tcPr>
            <w:tcW w:type="dxa" w:w="12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Institution</w:t>
            </w:r>
          </w:p>
        </w:tc>
        <w:tc>
          <w:tcPr>
            <w:tcW w:type="dxa" w:w="12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P0</w:t>
            </w:r>
          </w:p>
        </w:tc>
        <w:tc>
          <w:tcPr>
            <w:tcW w:type="dxa" w:w="1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V1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ANALYTICS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Mesure d'impact</w:t>
            </w:r>
          </w:p>
        </w:tc>
        <w:tc>
          <w:tcPr>
            <w:tcW w:type="dxa" w:w="12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Institution</w:t>
            </w:r>
          </w:p>
        </w:tc>
        <w:tc>
          <w:tcPr>
            <w:tcW w:type="dxa" w:w="12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V1</w:t>
            </w:r>
          </w:p>
        </w:tc>
      </w:tr>
      <w:tr>
        <w:tc>
          <w:tcPr>
            <w:tcW w:type="dxa" w:w="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M7</w:t>
            </w:r>
          </w:p>
        </w:tc>
        <w:tc>
          <w:tcPr>
            <w:tcW w:type="dxa" w:w="2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CITIZEN</w:t>
            </w:r>
          </w:p>
        </w:tc>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Canal citoyens</w:t>
            </w:r>
          </w:p>
        </w:tc>
        <w:tc>
          <w:tcPr>
            <w:tcW w:type="dxa" w:w="12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Institution</w:t>
            </w:r>
          </w:p>
        </w:tc>
        <w:tc>
          <w:tcPr>
            <w:tcW w:type="dxa" w:w="12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P1</w:t>
            </w:r>
          </w:p>
        </w:tc>
        <w:tc>
          <w:tcPr>
            <w:tcW w:type="dxa" w:w="1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V2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ARCHIVE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Mémoire institutionnelle</w:t>
            </w:r>
          </w:p>
        </w:tc>
        <w:tc>
          <w:tcPr>
            <w:tcW w:type="dxa" w:w="12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Institution</w:t>
            </w:r>
          </w:p>
        </w:tc>
        <w:tc>
          <w:tcPr>
            <w:tcW w:type="dxa" w:w="12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V2</w:t>
            </w:r>
          </w:p>
        </w:tc>
      </w:tr>
      <w:tr>
        <w:tc>
          <w:tcPr>
            <w:tcW w:type="dxa" w:w="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M9</w:t>
            </w:r>
          </w:p>
        </w:tc>
        <w:tc>
          <w:tcPr>
            <w:tcW w:type="dxa" w:w="2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ACCREDIT</w:t>
            </w:r>
          </w:p>
        </w:tc>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Accréditations journalistes</w:t>
            </w:r>
          </w:p>
        </w:tc>
        <w:tc>
          <w:tcPr>
            <w:tcW w:type="dxa" w:w="12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Institution</w:t>
            </w:r>
          </w:p>
        </w:tc>
        <w:tc>
          <w:tcPr>
            <w:tcW w:type="dxa" w:w="12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P1</w:t>
            </w:r>
          </w:p>
        </w:tc>
        <w:tc>
          <w:tcPr>
            <w:tcW w:type="dxa" w:w="1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V2</w:t>
            </w:r>
          </w:p>
        </w:tc>
      </w:tr>
      <w:tr>
        <w:tc>
          <w:tcPr>
            <w:tcW w:type="dxa" w:w="600"/>
            <w:tcBorders>
              <w:top w:val="single" w:color="CCCCCC" w:sz="1"/>
              <w:left w:val="single" w:color="CCCCCC" w:sz="1"/>
              <w:bottom w:val="single" w:color="CCCCCC" w:sz="1"/>
              <w:right w:val="single" w:color="CCCCCC" w:sz="1"/>
            </w:tcBorders>
            <w:shd w:fill="1D4ED8" w:val="clear"/>
            <w:tcMar>
              <w:top w:type="dxa" w:w="80"/>
              <w:left w:type="dxa" w:w="80"/>
              <w:bottom w:type="dxa" w:w="80"/>
              <w:right w:type="dxa" w:w="80"/>
            </w:tcMar>
          </w:tcPr>
          <w:p>
            <w:pPr>
              <w:jc w:val="center"/>
            </w:pPr>
            <w:r>
              <w:rPr>
                <w:rFonts w:ascii="Calibri" w:cs="Calibri" w:eastAsia="Calibri" w:hAnsi="Calibri"/>
                <w:b/>
                <w:bCs/>
                <w:color w:val="FFFFFF"/>
                <w:sz w:val="19"/>
                <w:szCs w:val="19"/>
              </w:rPr>
              <w:t xml:space="preserve">M10</w:t>
            </w:r>
          </w:p>
        </w:tc>
        <w:tc>
          <w:tcPr>
            <w:tcW w:type="dxa" w:w="2600"/>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r>
              <w:rPr>
                <w:rFonts w:ascii="Calibri" w:cs="Calibri" w:eastAsia="Calibri" w:hAnsi="Calibri"/>
                <w:b/>
                <w:bCs/>
                <w:color w:val="FFFFFF"/>
                <w:sz w:val="19"/>
                <w:szCs w:val="19"/>
              </w:rPr>
              <w:t xml:space="preserve">AGENCE — Cockpit multi-clients</w:t>
            </w:r>
          </w:p>
        </w:tc>
        <w:tc>
          <w:tcPr>
            <w:tcW w:type="dxa" w:w="2400"/>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r>
              <w:rPr>
                <w:rFonts w:ascii="Calibri" w:cs="Calibri" w:eastAsia="Calibri" w:hAnsi="Calibri"/>
                <w:b/>
                <w:bCs/>
                <w:color w:val="FFFFFF"/>
                <w:sz w:val="19"/>
                <w:szCs w:val="19"/>
              </w:rPr>
              <w:t xml:space="preserve">Agences RP, attachés de presse</w:t>
            </w:r>
          </w:p>
        </w:tc>
        <w:tc>
          <w:tcPr>
            <w:tcW w:type="dxa" w:w="1213"/>
            <w:tcBorders>
              <w:top w:val="single" w:color="CCCCCC" w:sz="1"/>
              <w:left w:val="single" w:color="CCCCCC" w:sz="1"/>
              <w:bottom w:val="single" w:color="CCCCCC" w:sz="1"/>
              <w:right w:val="single" w:color="CCCCCC" w:sz="1"/>
            </w:tcBorders>
            <w:shd w:fill="1D4ED8" w:val="clear"/>
            <w:tcMar>
              <w:top w:type="dxa" w:w="80"/>
              <w:left w:type="dxa" w:w="80"/>
              <w:bottom w:type="dxa" w:w="80"/>
              <w:right w:type="dxa" w:w="80"/>
            </w:tcMar>
          </w:tcPr>
          <w:p>
            <w:pPr>
              <w:jc w:val="center"/>
            </w:pPr>
            <w:r>
              <w:rPr>
                <w:rFonts w:ascii="Calibri" w:cs="Calibri" w:eastAsia="Calibri" w:hAnsi="Calibri"/>
                <w:b/>
                <w:bCs/>
                <w:color w:val="FFFFFF"/>
                <w:sz w:val="19"/>
                <w:szCs w:val="19"/>
              </w:rPr>
              <w:t xml:space="preserve">Agences</w:t>
            </w:r>
          </w:p>
        </w:tc>
        <w:tc>
          <w:tcPr>
            <w:tcW w:type="dxa" w:w="1213"/>
            <w:tcBorders>
              <w:top w:val="single" w:color="CCCCCC" w:sz="1"/>
              <w:left w:val="single" w:color="CCCCCC" w:sz="1"/>
              <w:bottom w:val="single" w:color="CCCCCC" w:sz="1"/>
              <w:right w:val="single" w:color="CCCCCC" w:sz="1"/>
            </w:tcBorders>
            <w:shd w:fill="1D4ED8" w:val="clear"/>
            <w:tcMar>
              <w:top w:type="dxa" w:w="80"/>
              <w:left w:type="dxa" w:w="80"/>
              <w:bottom w:type="dxa" w:w="80"/>
              <w:right w:type="dxa" w:w="80"/>
            </w:tcMar>
          </w:tcPr>
          <w:p>
            <w:pPr>
              <w:jc w:val="center"/>
            </w:pPr>
            <w:r>
              <w:rPr>
                <w:rFonts w:ascii="Calibri" w:cs="Calibri" w:eastAsia="Calibri" w:hAnsi="Calibri"/>
                <w:b/>
                <w:bCs/>
                <w:color w:val="C8962E"/>
                <w:sz w:val="19"/>
                <w:szCs w:val="19"/>
              </w:rPr>
              <w:t xml:space="preserve">P0 — V1</w:t>
            </w:r>
          </w:p>
        </w:tc>
        <w:tc>
          <w:tcPr>
            <w:tcW w:type="dxa" w:w="1000"/>
            <w:tcBorders>
              <w:top w:val="single" w:color="CCCCCC" w:sz="1"/>
              <w:left w:val="single" w:color="CCCCCC" w:sz="1"/>
              <w:bottom w:val="single" w:color="CCCCCC" w:sz="1"/>
              <w:right w:val="single" w:color="CCCCCC" w:sz="1"/>
            </w:tcBorders>
            <w:shd w:fill="1D4ED8" w:val="clear"/>
            <w:tcMar>
              <w:top w:type="dxa" w:w="80"/>
              <w:left w:type="dxa" w:w="80"/>
              <w:bottom w:type="dxa" w:w="80"/>
              <w:right w:type="dxa" w:w="80"/>
            </w:tcMar>
          </w:tcPr>
          <w:p>
            <w:pPr>
              <w:jc w:val="center"/>
            </w:pPr>
            <w:r>
              <w:rPr>
                <w:rFonts w:ascii="Calibri" w:cs="Calibri" w:eastAsia="Calibri" w:hAnsi="Calibri"/>
                <w:b/>
                <w:bCs/>
                <w:color w:val="FFFFFF"/>
                <w:sz w:val="19"/>
                <w:szCs w:val="19"/>
              </w:rPr>
              <w:t xml:space="preserve">V1</w:t>
            </w:r>
          </w:p>
        </w:tc>
      </w:tr>
    </w:tbl>
    <w:p>
      <w:pPr>
        <w:spacing w:after="40" w:before="80"/>
      </w:pPr>
      <w:r>
        <w:t xml:space="preserve"/>
      </w:r>
    </w:p>
    <w:p>
      <w:pPr>
        <w:spacing w:after="80" w:before="80"/>
        <w:jc w:val="both"/>
      </w:pPr>
      <w:r>
        <w:rPr>
          <w:rFonts w:ascii="Calibri" w:cs="Calibri" w:eastAsia="Calibri" w:hAnsi="Calibri"/>
          <w:sz w:val="22"/>
          <w:szCs w:val="22"/>
        </w:rPr>
        <w:t xml:space="preserve">M10 AGENCE est surligné en bleu car il cible un segment différent des M1-M9. Il n'est pas une extension des modules institutionnels — c'est un produit distinct qui partage la même infrastructure.</w:t>
      </w:r>
    </w:p>
    <w:p>
      <w:pPr>
        <w:spacing w:after="80" w:before="120"/>
      </w:pPr>
      <w:r>
        <w:t xml:space="preserve"/>
      </w:r>
    </w:p>
    <w:p>
      <w:r>
        <w:br w:type="page"/>
      </w:r>
    </w:p>
    <w:p>
      <w:r>
        <w:br w:type="page"/>
      </w:r>
    </w:p>
    <w:p>
      <w:pPr>
        <w:pBdr>
          <w:bottom w:val="single" w:color="1D9E75" w:sz="8" w:space="6"/>
        </w:pBdr>
        <w:spacing w:after="200" w:before="480"/>
      </w:pPr>
      <w:r>
        <w:rPr>
          <w:rFonts w:ascii="Georgia" w:cs="Georgia" w:eastAsia="Georgia" w:hAnsi="Georgia"/>
          <w:b/>
          <w:bCs/>
          <w:color w:val="0A1628"/>
          <w:sz w:val="32"/>
          <w:szCs w:val="32"/>
        </w:rPr>
        <w:t xml:space="preserve">MODULE M1 — HERALDO PRESS</w:t>
      </w:r>
    </w:p>
    <w:p>
      <w:pPr>
        <w:spacing w:after="200" w:before="0"/>
      </w:pPr>
      <w:r>
        <w:rPr>
          <w:rFonts w:ascii="Georgia" w:cs="Georgia" w:eastAsia="Georgia" w:hAnsi="Georgia"/>
          <w:i/>
          <w:iCs/>
          <w:color w:val="1D9E75"/>
          <w:sz w:val="24"/>
          <w:szCs w:val="24"/>
        </w:rPr>
        <w:t xml:space="preserve">Le point d'entrée — communication presse externe</w:t>
      </w:r>
    </w:p>
    <w:p>
      <w:pPr>
        <w:spacing w:after="4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Audience cible</w:t>
            </w:r>
          </w:p>
        </w:tc>
        <w:tc>
          <w:tcPr>
            <w:tcW w:type="dxa" w:w="68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Chargé de communication, Directeur de la communication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Priorité</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 — V1 core</w:t>
            </w:r>
          </w:p>
        </w:tc>
      </w:tr>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Budget estimé</w:t>
            </w:r>
          </w:p>
        </w:tc>
        <w:tc>
          <w:tcPr>
            <w:tcW w:type="dxa" w:w="68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8 000 000 à 12 000 000 FCFA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KPI principal</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Taux de lecture &gt; 80% dans les 24h suivant l'envoi</w:t>
            </w:r>
          </w:p>
        </w:tc>
      </w:tr>
    </w:tbl>
    <w:p>
      <w:pPr>
        <w:spacing w:after="80" w:before="120"/>
      </w:pPr>
      <w:r>
        <w:t xml:space="preserve"/>
      </w:r>
    </w:p>
    <w:p>
      <w:pPr>
        <w:spacing w:after="140" w:before="320"/>
      </w:pPr>
      <w:r>
        <w:rPr>
          <w:rFonts w:ascii="Georgia" w:cs="Georgia" w:eastAsia="Georgia" w:hAnsi="Georgia"/>
          <w:b/>
          <w:bCs/>
          <w:color w:val="1A3A5C"/>
          <w:sz w:val="26"/>
          <w:szCs w:val="26"/>
        </w:rPr>
        <w:t xml:space="preserve">Problématique résolue</w:t>
      </w:r>
    </w:p>
    <w:p>
      <w:pPr>
        <w:spacing w:after="80" w:before="80"/>
        <w:jc w:val="both"/>
      </w:pPr>
      <w:r>
        <w:rPr>
          <w:rFonts w:ascii="Calibri" w:cs="Calibri" w:eastAsia="Calibri" w:hAnsi="Calibri"/>
          <w:sz w:val="22"/>
          <w:szCs w:val="22"/>
        </w:rPr>
        <w:t xml:space="preserve">Les institutions ivoiriennes n'ont aucun outil structuré pour gérer leur communication de presse. Les communiqués partent par WhatsApp et email en masse, sans suivi de lecture, sans annuaire centralisé, sans historique.</w:t>
      </w:r>
    </w:p>
    <w:p>
      <w:pPr>
        <w:spacing w:after="40" w:before="80"/>
      </w:pPr>
      <w:r>
        <w:t xml:space="preserve"/>
      </w:r>
    </w:p>
    <w:p>
      <w:pPr>
        <w:spacing w:after="140" w:before="320"/>
      </w:pPr>
      <w:r>
        <w:rPr>
          <w:rFonts w:ascii="Georgia" w:cs="Georgia" w:eastAsia="Georgia" w:hAnsi="Georgia"/>
          <w:b/>
          <w:bCs/>
          <w:color w:val="1A3A5C"/>
          <w:sz w:val="26"/>
          <w:szCs w:val="26"/>
        </w:rPr>
        <w:t xml:space="preserve">Fonctionnalités</w:t>
      </w:r>
    </w:p>
    <w:p>
      <w:pPr>
        <w:spacing w:after="100" w:before="200"/>
      </w:pPr>
      <w:r>
        <w:rPr>
          <w:rFonts w:ascii="Calibri" w:cs="Calibri" w:eastAsia="Calibri" w:hAnsi="Calibri"/>
          <w:b/>
          <w:bCs/>
          <w:color w:val="0D5C63"/>
          <w:sz w:val="23"/>
          <w:szCs w:val="23"/>
        </w:rPr>
        <w:t xml:space="preserve">Annuaire journalistes</w:t>
      </w:r>
    </w:p>
    <w:p>
      <w:pPr>
        <w:pStyle w:val="ListParagraph"/>
        <w:numPr>
          <w:ilvl w:val="0"/>
          <w:numId w:val="2"/>
        </w:numPr>
        <w:spacing w:after="60" w:before="60"/>
      </w:pPr>
      <w:r>
        <w:rPr>
          <w:rFonts w:ascii="Calibri" w:cs="Calibri" w:eastAsia="Calibri" w:hAnsi="Calibri"/>
          <w:sz w:val="22"/>
          <w:szCs w:val="22"/>
        </w:rPr>
        <w:t xml:space="preserve">Profil complet journaliste : média, spécialités, région, historique.</w:t>
      </w:r>
    </w:p>
    <w:p>
      <w:pPr>
        <w:pStyle w:val="ListParagraph"/>
        <w:numPr>
          <w:ilvl w:val="0"/>
          <w:numId w:val="2"/>
        </w:numPr>
        <w:spacing w:after="60" w:before="60"/>
      </w:pPr>
      <w:r>
        <w:rPr>
          <w:rFonts w:ascii="Calibri" w:cs="Calibri" w:eastAsia="Calibri" w:hAnsi="Calibri"/>
          <w:sz w:val="22"/>
          <w:szCs w:val="22"/>
        </w:rPr>
        <w:t xml:space="preserve">Import CSV d'annuaires existants.</w:t>
      </w:r>
    </w:p>
    <w:p>
      <w:pPr>
        <w:pStyle w:val="ListParagraph"/>
        <w:numPr>
          <w:ilvl w:val="0"/>
          <w:numId w:val="2"/>
        </w:numPr>
        <w:spacing w:after="60" w:before="60"/>
      </w:pPr>
      <w:r>
        <w:rPr>
          <w:rFonts w:ascii="Calibri" w:cs="Calibri" w:eastAsia="Calibri" w:hAnsi="Calibri"/>
          <w:sz w:val="22"/>
          <w:szCs w:val="22"/>
        </w:rPr>
        <w:t xml:space="preserve">Segmentation multicritères pour ciblage précis.</w:t>
      </w:r>
    </w:p>
    <w:p>
      <w:pPr>
        <w:spacing w:after="100" w:before="200"/>
      </w:pPr>
      <w:r>
        <w:rPr>
          <w:rFonts w:ascii="Calibri" w:cs="Calibri" w:eastAsia="Calibri" w:hAnsi="Calibri"/>
          <w:b/>
          <w:bCs/>
          <w:color w:val="0D5C63"/>
          <w:sz w:val="23"/>
          <w:szCs w:val="23"/>
        </w:rPr>
        <w:t xml:space="preserve">Envoi de communiqués</w:t>
      </w:r>
    </w:p>
    <w:p>
      <w:pPr>
        <w:pStyle w:val="ListParagraph"/>
        <w:numPr>
          <w:ilvl w:val="0"/>
          <w:numId w:val="2"/>
        </w:numPr>
        <w:spacing w:after="60" w:before="60"/>
      </w:pPr>
      <w:r>
        <w:rPr>
          <w:rFonts w:ascii="Calibri" w:cs="Calibri" w:eastAsia="Calibri" w:hAnsi="Calibri"/>
          <w:sz w:val="22"/>
          <w:szCs w:val="22"/>
        </w:rPr>
        <w:t xml:space="preserve">Éditeur riche : texte, images, pièces jointes.</w:t>
      </w:r>
    </w:p>
    <w:p>
      <w:pPr>
        <w:pStyle w:val="ListParagraph"/>
        <w:numPr>
          <w:ilvl w:val="0"/>
          <w:numId w:val="2"/>
        </w:numPr>
        <w:spacing w:after="60" w:before="60"/>
      </w:pPr>
      <w:r>
        <w:rPr>
          <w:rFonts w:ascii="Calibri" w:cs="Calibri" w:eastAsia="Calibri" w:hAnsi="Calibri"/>
          <w:sz w:val="22"/>
          <w:szCs w:val="22"/>
        </w:rPr>
        <w:t xml:space="preserve">Envoi immédiat ou programmé.</w:t>
      </w:r>
    </w:p>
    <w:p>
      <w:pPr>
        <w:pStyle w:val="ListParagraph"/>
        <w:numPr>
          <w:ilvl w:val="0"/>
          <w:numId w:val="2"/>
        </w:numPr>
        <w:spacing w:after="60" w:before="60"/>
      </w:pPr>
      <w:r>
        <w:rPr>
          <w:rFonts w:ascii="Calibri" w:cs="Calibri" w:eastAsia="Calibri" w:hAnsi="Calibri"/>
          <w:sz w:val="22"/>
          <w:szCs w:val="22"/>
        </w:rPr>
        <w:t xml:space="preserve">Accusé de réception et de lecture horodaté.</w:t>
      </w:r>
    </w:p>
    <w:p>
      <w:pPr>
        <w:pStyle w:val="ListParagraph"/>
        <w:numPr>
          <w:ilvl w:val="0"/>
          <w:numId w:val="2"/>
        </w:numPr>
        <w:spacing w:after="60" w:before="60"/>
      </w:pPr>
      <w:r>
        <w:rPr>
          <w:rFonts w:ascii="Calibri" w:cs="Calibri" w:eastAsia="Calibri" w:hAnsi="Calibri"/>
          <w:sz w:val="22"/>
          <w:szCs w:val="22"/>
        </w:rPr>
        <w:t xml:space="preserve">Relance automatique des non-lecteurs.</w:t>
      </w:r>
    </w:p>
    <w:p>
      <w:pPr>
        <w:spacing w:after="100" w:before="200"/>
      </w:pPr>
      <w:r>
        <w:rPr>
          <w:rFonts w:ascii="Calibri" w:cs="Calibri" w:eastAsia="Calibri" w:hAnsi="Calibri"/>
          <w:b/>
          <w:bCs/>
          <w:color w:val="0D5C63"/>
          <w:sz w:val="23"/>
          <w:szCs w:val="23"/>
        </w:rPr>
        <w:t xml:space="preserve">Tableau de bord</w:t>
      </w:r>
    </w:p>
    <w:p>
      <w:pPr>
        <w:pStyle w:val="ListParagraph"/>
        <w:numPr>
          <w:ilvl w:val="0"/>
          <w:numId w:val="2"/>
        </w:numPr>
        <w:spacing w:after="60" w:before="60"/>
      </w:pPr>
      <w:r>
        <w:rPr>
          <w:rFonts w:ascii="Calibri" w:cs="Calibri" w:eastAsia="Calibri" w:hAnsi="Calibri"/>
          <w:sz w:val="22"/>
          <w:szCs w:val="22"/>
        </w:rPr>
        <w:t xml:space="preserve">Taux d'ouverture, taux de clic, médias actifs.</w:t>
      </w:r>
    </w:p>
    <w:p>
      <w:pPr>
        <w:pStyle w:val="ListParagraph"/>
        <w:numPr>
          <w:ilvl w:val="0"/>
          <w:numId w:val="2"/>
        </w:numPr>
        <w:spacing w:after="60" w:before="60"/>
      </w:pPr>
      <w:r>
        <w:rPr>
          <w:rFonts w:ascii="Calibri" w:cs="Calibri" w:eastAsia="Calibri" w:hAnsi="Calibri"/>
          <w:sz w:val="22"/>
          <w:szCs w:val="22"/>
        </w:rPr>
        <w:t xml:space="preserve">Historique complet filtrable.</w:t>
      </w:r>
    </w:p>
    <w:p>
      <w:pPr>
        <w:pStyle w:val="ListParagraph"/>
        <w:numPr>
          <w:ilvl w:val="0"/>
          <w:numId w:val="2"/>
        </w:numPr>
        <w:spacing w:after="60" w:before="60"/>
      </w:pPr>
      <w:r>
        <w:rPr>
          <w:rFonts w:ascii="Calibri" w:cs="Calibri" w:eastAsia="Calibri" w:hAnsi="Calibri"/>
          <w:sz w:val="22"/>
          <w:szCs w:val="22"/>
        </w:rPr>
        <w:t xml:space="preserve">Templates pré-formatés conformes aux standards institutionnels.</w:t>
      </w:r>
    </w:p>
    <w:p>
      <w:pPr>
        <w:spacing w:after="80" w:before="120"/>
      </w:pPr>
      <w:r>
        <w:t xml:space="preserve"/>
      </w:r>
    </w:p>
    <w:p>
      <w:r>
        <w:br w:type="page"/>
      </w:r>
    </w:p>
    <w:p>
      <w:pPr>
        <w:pBdr>
          <w:bottom w:val="single" w:color="0D5C63" w:sz="8" w:space="6"/>
        </w:pBdr>
        <w:spacing w:after="200" w:before="480"/>
      </w:pPr>
      <w:r>
        <w:rPr>
          <w:rFonts w:ascii="Georgia" w:cs="Georgia" w:eastAsia="Georgia" w:hAnsi="Georgia"/>
          <w:b/>
          <w:bCs/>
          <w:color w:val="0A1628"/>
          <w:sz w:val="32"/>
          <w:szCs w:val="32"/>
        </w:rPr>
        <w:t xml:space="preserve">MODULE M2 — HERALDO RÉSEAU</w:t>
      </w:r>
    </w:p>
    <w:p>
      <w:pPr>
        <w:spacing w:after="200" w:before="0"/>
      </w:pPr>
      <w:r>
        <w:rPr>
          <w:rFonts w:ascii="Georgia" w:cs="Georgia" w:eastAsia="Georgia" w:hAnsi="Georgia"/>
          <w:i/>
          <w:iCs/>
          <w:color w:val="0D5C63"/>
          <w:sz w:val="24"/>
          <w:szCs w:val="24"/>
        </w:rPr>
        <w:t xml:space="preserve">Extension aux directions régionales et structures sous tutelle</w:t>
      </w:r>
    </w:p>
    <w:p>
      <w:pPr>
        <w:spacing w:after="4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Audience cible</w:t>
            </w:r>
          </w:p>
        </w:tc>
        <w:tc>
          <w:tcPr>
            <w:tcW w:type="dxa" w:w="68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Directeur de la communication, responsables régionaux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Priorité</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 — V1</w:t>
            </w:r>
          </w:p>
        </w:tc>
      </w:tr>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Budget estimé</w:t>
            </w:r>
          </w:p>
        </w:tc>
        <w:tc>
          <w:tcPr>
            <w:tcW w:type="dxa" w:w="68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3 000 000 à 5 000 000 FCFA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KPI principal</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100% des directions régionales couvertes dans les 30 minutes</w:t>
            </w:r>
          </w:p>
        </w:tc>
      </w:tr>
    </w:tbl>
    <w:p>
      <w:pPr>
        <w:spacing w:after="80" w:before="120"/>
      </w:pPr>
      <w:r>
        <w:t xml:space="preserve"/>
      </w:r>
    </w:p>
    <w:p>
      <w:pPr>
        <w:spacing w:after="140" w:before="320"/>
      </w:pPr>
      <w:r>
        <w:rPr>
          <w:rFonts w:ascii="Georgia" w:cs="Georgia" w:eastAsia="Georgia" w:hAnsi="Georgia"/>
          <w:b/>
          <w:bCs/>
          <w:color w:val="1A3A5C"/>
          <w:sz w:val="26"/>
          <w:szCs w:val="26"/>
        </w:rPr>
        <w:t xml:space="preserve">Problématique résolue</w:t>
      </w:r>
    </w:p>
    <w:p>
      <w:pPr>
        <w:spacing w:after="80" w:before="80"/>
        <w:jc w:val="both"/>
      </w:pPr>
      <w:r>
        <w:rPr>
          <w:rFonts w:ascii="Calibri" w:cs="Calibri" w:eastAsia="Calibri" w:hAnsi="Calibri"/>
          <w:sz w:val="22"/>
          <w:szCs w:val="22"/>
        </w:rPr>
        <w:t xml:space="preserve">L'information officielle ne circule pas correctement entre l'administration centrale et les 31 directions régionales. Les préfets apprennent les décisions ministérielles par les médias plutôt que par leurs propres canaux.</w:t>
      </w:r>
    </w:p>
    <w:p>
      <w:pPr>
        <w:spacing w:after="40" w:before="80"/>
      </w:pPr>
      <w:r>
        <w:t xml:space="preserve"/>
      </w:r>
    </w:p>
    <w:p>
      <w:pPr>
        <w:spacing w:after="140" w:before="320"/>
      </w:pPr>
      <w:r>
        <w:rPr>
          <w:rFonts w:ascii="Georgia" w:cs="Georgia" w:eastAsia="Georgia" w:hAnsi="Georgia"/>
          <w:b/>
          <w:bCs/>
          <w:color w:val="1A3A5C"/>
          <w:sz w:val="26"/>
          <w:szCs w:val="26"/>
        </w:rPr>
        <w:t xml:space="preserve">Fonctionnalités</w:t>
      </w:r>
    </w:p>
    <w:p>
      <w:pPr>
        <w:pStyle w:val="ListParagraph"/>
        <w:numPr>
          <w:ilvl w:val="0"/>
          <w:numId w:val="2"/>
        </w:numPr>
        <w:spacing w:after="60" w:before="60"/>
      </w:pPr>
      <w:r>
        <w:rPr>
          <w:rFonts w:ascii="Calibri" w:cs="Calibri" w:eastAsia="Calibri" w:hAnsi="Calibri"/>
          <w:sz w:val="22"/>
          <w:szCs w:val="22"/>
        </w:rPr>
        <w:t xml:space="preserve">Annuaire des points focaux par direction régionale et établissement sous tutelle.</w:t>
      </w:r>
    </w:p>
    <w:p>
      <w:pPr>
        <w:pStyle w:val="ListParagraph"/>
        <w:numPr>
          <w:ilvl w:val="0"/>
          <w:numId w:val="2"/>
        </w:numPr>
        <w:spacing w:after="60" w:before="60"/>
      </w:pPr>
      <w:r>
        <w:rPr>
          <w:rFonts w:ascii="Calibri" w:cs="Calibri" w:eastAsia="Calibri" w:hAnsi="Calibri"/>
          <w:sz w:val="22"/>
          <w:szCs w:val="22"/>
        </w:rPr>
        <w:t xml:space="preserve">Diffusion simultanée journalistes + directions en un envoi.</w:t>
      </w:r>
    </w:p>
    <w:p>
      <w:pPr>
        <w:pStyle w:val="ListParagraph"/>
        <w:numPr>
          <w:ilvl w:val="0"/>
          <w:numId w:val="2"/>
        </w:numPr>
        <w:spacing w:after="60" w:before="60"/>
      </w:pPr>
      <w:r>
        <w:rPr>
          <w:rFonts w:ascii="Calibri" w:cs="Calibri" w:eastAsia="Calibri" w:hAnsi="Calibri"/>
          <w:sz w:val="22"/>
          <w:szCs w:val="22"/>
        </w:rPr>
        <w:t xml:space="preserve">Message différencié : version presse publique vs version interne étendue.</w:t>
      </w:r>
    </w:p>
    <w:p>
      <w:pPr>
        <w:pStyle w:val="ListParagraph"/>
        <w:numPr>
          <w:ilvl w:val="0"/>
          <w:numId w:val="2"/>
        </w:numPr>
        <w:spacing w:after="60" w:before="60"/>
      </w:pPr>
      <w:r>
        <w:rPr>
          <w:rFonts w:ascii="Calibri" w:cs="Calibri" w:eastAsia="Calibri" w:hAnsi="Calibri"/>
          <w:sz w:val="22"/>
          <w:szCs w:val="22"/>
        </w:rPr>
        <w:t xml:space="preserve">Carte de couverture géographique des directions atteintes.</w:t>
      </w:r>
    </w:p>
    <w:p>
      <w:pPr>
        <w:pStyle w:val="ListParagraph"/>
        <w:numPr>
          <w:ilvl w:val="0"/>
          <w:numId w:val="2"/>
        </w:numPr>
        <w:spacing w:after="60" w:before="60"/>
      </w:pPr>
      <w:r>
        <w:rPr>
          <w:rFonts w:ascii="Calibri" w:cs="Calibri" w:eastAsia="Calibri" w:hAnsi="Calibri"/>
          <w:sz w:val="22"/>
          <w:szCs w:val="22"/>
        </w:rPr>
        <w:t xml:space="preserve">Tableau de bord : taux de lecture par direction.</w:t>
      </w:r>
    </w:p>
    <w:p>
      <w:pPr>
        <w:spacing w:after="80" w:before="120"/>
      </w:pPr>
      <w:r>
        <w:t xml:space="preserve"/>
      </w:r>
    </w:p>
    <w:p>
      <w:r>
        <w:br w:type="page"/>
      </w:r>
    </w:p>
    <w:p>
      <w:pPr>
        <w:pBdr>
          <w:bottom w:val="single" w:color="534AB7" w:sz="8" w:space="6"/>
        </w:pBdr>
        <w:spacing w:after="200" w:before="480"/>
      </w:pPr>
      <w:r>
        <w:rPr>
          <w:rFonts w:ascii="Georgia" w:cs="Georgia" w:eastAsia="Georgia" w:hAnsi="Georgia"/>
          <w:b/>
          <w:bCs/>
          <w:color w:val="0A1628"/>
          <w:sz w:val="32"/>
          <w:szCs w:val="32"/>
        </w:rPr>
        <w:t xml:space="preserve">MODULE M3 — HERALDO INTERNE</w:t>
      </w:r>
    </w:p>
    <w:p>
      <w:pPr>
        <w:spacing w:after="200" w:before="0"/>
      </w:pPr>
      <w:r>
        <w:rPr>
          <w:rFonts w:ascii="Georgia" w:cs="Georgia" w:eastAsia="Georgia" w:hAnsi="Georgia"/>
          <w:i/>
          <w:iCs/>
          <w:color w:val="534AB7"/>
          <w:sz w:val="24"/>
          <w:szCs w:val="24"/>
        </w:rPr>
        <w:t xml:space="preserve">Coordination interne — notes de service et circulaires officielles</w:t>
      </w:r>
    </w:p>
    <w:p>
      <w:pPr>
        <w:spacing w:after="4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Audience cible</w:t>
            </w:r>
          </w:p>
        </w:tc>
        <w:tc>
          <w:tcPr>
            <w:tcW w:type="dxa" w:w="68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Secrétaire Général, Directeurs, Chefs de service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Priorité</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 — V1</w:t>
            </w:r>
          </w:p>
        </w:tc>
      </w:tr>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Budget estimé</w:t>
            </w:r>
          </w:p>
        </w:tc>
        <w:tc>
          <w:tcPr>
            <w:tcW w:type="dxa" w:w="68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4 000 000 à 6 000 000 FCFA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KPI principal</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Accusé de lecture de 100% des notes dans les 48h</w:t>
            </w:r>
          </w:p>
        </w:tc>
      </w:tr>
    </w:tbl>
    <w:p>
      <w:pPr>
        <w:spacing w:after="80" w:before="120"/>
      </w:pPr>
      <w:r>
        <w:t xml:space="preserve"/>
      </w:r>
    </w:p>
    <w:p>
      <w:pPr>
        <w:spacing w:after="140" w:before="320"/>
      </w:pPr>
      <w:r>
        <w:rPr>
          <w:rFonts w:ascii="Georgia" w:cs="Georgia" w:eastAsia="Georgia" w:hAnsi="Georgia"/>
          <w:b/>
          <w:bCs/>
          <w:color w:val="1A3A5C"/>
          <w:sz w:val="26"/>
          <w:szCs w:val="26"/>
        </w:rPr>
        <w:t xml:space="preserve">Problématique résolue</w:t>
      </w:r>
    </w:p>
    <w:p>
      <w:pPr>
        <w:spacing w:after="80" w:before="80"/>
        <w:jc w:val="both"/>
      </w:pPr>
      <w:r>
        <w:rPr>
          <w:rFonts w:ascii="Calibri" w:cs="Calibri" w:eastAsia="Calibri" w:hAnsi="Calibri"/>
          <w:sz w:val="22"/>
          <w:szCs w:val="22"/>
        </w:rPr>
        <w:t xml:space="preserve">Les notes de service circulent encore par courrier physique ou email sans accusé de lecture officiel. Il est impossible de prouver qu'un agent a bien reçu et pris connaissance d'une directive.</w:t>
      </w:r>
    </w:p>
    <w:p>
      <w:pPr>
        <w:spacing w:after="40" w:before="80"/>
      </w:pPr>
      <w:r>
        <w:t xml:space="preserve"/>
      </w:r>
    </w:p>
    <w:p>
      <w:pPr>
        <w:spacing w:after="140" w:before="320"/>
      </w:pPr>
      <w:r>
        <w:rPr>
          <w:rFonts w:ascii="Georgia" w:cs="Georgia" w:eastAsia="Georgia" w:hAnsi="Georgia"/>
          <w:b/>
          <w:bCs/>
          <w:color w:val="1A3A5C"/>
          <w:sz w:val="26"/>
          <w:szCs w:val="26"/>
        </w:rPr>
        <w:t xml:space="preserve">Fonctionnalités</w:t>
      </w:r>
    </w:p>
    <w:p>
      <w:pPr>
        <w:pStyle w:val="ListParagraph"/>
        <w:numPr>
          <w:ilvl w:val="0"/>
          <w:numId w:val="2"/>
        </w:numPr>
        <w:spacing w:after="60" w:before="60"/>
      </w:pPr>
      <w:r>
        <w:rPr>
          <w:rFonts w:ascii="Calibri" w:cs="Calibri" w:eastAsia="Calibri" w:hAnsi="Calibri"/>
          <w:sz w:val="22"/>
          <w:szCs w:val="22"/>
        </w:rPr>
        <w:t xml:space="preserve">Rédaction et envoi de notes de service, circulaires, directives.</w:t>
      </w:r>
    </w:p>
    <w:p>
      <w:pPr>
        <w:pStyle w:val="ListParagraph"/>
        <w:numPr>
          <w:ilvl w:val="0"/>
          <w:numId w:val="2"/>
        </w:numPr>
        <w:spacing w:after="60" w:before="60"/>
      </w:pPr>
      <w:r>
        <w:rPr>
          <w:rFonts w:ascii="Calibri" w:cs="Calibri" w:eastAsia="Calibri" w:hAnsi="Calibri"/>
          <w:sz w:val="22"/>
          <w:szCs w:val="22"/>
        </w:rPr>
        <w:t xml:space="preserve">Accusé de réception obligatoire avec signature numérique horodatée.</w:t>
      </w:r>
    </w:p>
    <w:p>
      <w:pPr>
        <w:pStyle w:val="ListParagraph"/>
        <w:numPr>
          <w:ilvl w:val="0"/>
          <w:numId w:val="2"/>
        </w:numPr>
        <w:spacing w:after="60" w:before="60"/>
      </w:pPr>
      <w:r>
        <w:rPr>
          <w:rFonts w:ascii="Calibri" w:cs="Calibri" w:eastAsia="Calibri" w:hAnsi="Calibri"/>
          <w:sz w:val="22"/>
          <w:szCs w:val="22"/>
        </w:rPr>
        <w:t xml:space="preserve">Niveaux de confidentialité : normal, restreint, confidentiel.</w:t>
      </w:r>
    </w:p>
    <w:p>
      <w:pPr>
        <w:pStyle w:val="ListParagraph"/>
        <w:numPr>
          <w:ilvl w:val="0"/>
          <w:numId w:val="2"/>
        </w:numPr>
        <w:spacing w:after="60" w:before="60"/>
      </w:pPr>
      <w:r>
        <w:rPr>
          <w:rFonts w:ascii="Calibri" w:cs="Calibri" w:eastAsia="Calibri" w:hAnsi="Calibri"/>
          <w:sz w:val="22"/>
          <w:szCs w:val="22"/>
        </w:rPr>
        <w:t xml:space="preserve">Relance automatique des non-lecteurs.</w:t>
      </w:r>
    </w:p>
    <w:p>
      <w:pPr>
        <w:pStyle w:val="ListParagraph"/>
        <w:numPr>
          <w:ilvl w:val="0"/>
          <w:numId w:val="2"/>
        </w:numPr>
        <w:spacing w:after="60" w:before="60"/>
      </w:pPr>
      <w:r>
        <w:rPr>
          <w:rFonts w:ascii="Calibri" w:cs="Calibri" w:eastAsia="Calibri" w:hAnsi="Calibri"/>
          <w:sz w:val="22"/>
          <w:szCs w:val="22"/>
        </w:rPr>
        <w:t xml:space="preserve">Tableau de bord SG : suivi temps réel, rapport hebdomadaire.</w:t>
      </w:r>
    </w:p>
    <w:p>
      <w:pPr>
        <w:pStyle w:val="ListParagraph"/>
        <w:numPr>
          <w:ilvl w:val="0"/>
          <w:numId w:val="2"/>
        </w:numPr>
        <w:spacing w:after="60" w:before="60"/>
      </w:pPr>
      <w:r>
        <w:rPr>
          <w:rFonts w:ascii="Calibri" w:cs="Calibri" w:eastAsia="Calibri" w:hAnsi="Calibri"/>
          <w:sz w:val="22"/>
          <w:szCs w:val="22"/>
        </w:rPr>
        <w:t xml:space="preserve">Alertes de non-réception escaladées à la hiérarchie.</w:t>
      </w:r>
    </w:p>
    <w:p>
      <w:pPr>
        <w:spacing w:after="80" w:before="120"/>
      </w:pPr>
      <w:r>
        <w:t xml:space="preserve"/>
      </w:r>
    </w:p>
    <w:p>
      <w:r>
        <w:br w:type="page"/>
      </w:r>
    </w:p>
    <w:p>
      <w:pPr>
        <w:pBdr>
          <w:bottom w:val="single" w:color="1D9E75" w:sz="8" w:space="6"/>
        </w:pBdr>
        <w:spacing w:after="200" w:before="480"/>
      </w:pPr>
      <w:r>
        <w:rPr>
          <w:rFonts w:ascii="Georgia" w:cs="Georgia" w:eastAsia="Georgia" w:hAnsi="Georgia"/>
          <w:b/>
          <w:bCs/>
          <w:color w:val="0A1628"/>
          <w:sz w:val="32"/>
          <w:szCs w:val="32"/>
        </w:rPr>
        <w:t xml:space="preserve">MODULE M4 — HERALDO LIVE</w:t>
      </w:r>
    </w:p>
    <w:p>
      <w:pPr>
        <w:spacing w:after="200" w:before="0"/>
      </w:pPr>
      <w:r>
        <w:rPr>
          <w:rFonts w:ascii="Georgia" w:cs="Georgia" w:eastAsia="Georgia" w:hAnsi="Georgia"/>
          <w:i/>
          <w:iCs/>
          <w:color w:val="1D9E75"/>
          <w:sz w:val="24"/>
          <w:szCs w:val="24"/>
        </w:rPr>
        <w:t xml:space="preserve">Conférences de presse hybrides — présentielles et en direct</w:t>
      </w:r>
    </w:p>
    <w:p>
      <w:pPr>
        <w:spacing w:after="4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Audience cible</w:t>
            </w:r>
          </w:p>
        </w:tc>
        <w:tc>
          <w:tcPr>
            <w:tcW w:type="dxa" w:w="68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Chargé de communication, journalistes accrédités distants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Priorité</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 — V1</w:t>
            </w:r>
          </w:p>
        </w:tc>
      </w:tr>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Budget estimé</w:t>
            </w:r>
          </w:p>
        </w:tc>
        <w:tc>
          <w:tcPr>
            <w:tcW w:type="dxa" w:w="68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6 000 000 à 8 000 000 FCFA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KPI principal</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Taux de participation journalistes distants &gt; 40%</w:t>
            </w:r>
          </w:p>
        </w:tc>
      </w:tr>
    </w:tbl>
    <w:p>
      <w:pPr>
        <w:spacing w:after="80" w:before="120"/>
      </w:pPr>
      <w:r>
        <w:t xml:space="preserve"/>
      </w:r>
    </w:p>
    <w:p>
      <w:pPr>
        <w:spacing w:after="140" w:before="320"/>
      </w:pPr>
      <w:r>
        <w:rPr>
          <w:rFonts w:ascii="Georgia" w:cs="Georgia" w:eastAsia="Georgia" w:hAnsi="Georgia"/>
          <w:b/>
          <w:bCs/>
          <w:color w:val="1A3A5C"/>
          <w:sz w:val="26"/>
          <w:szCs w:val="26"/>
        </w:rPr>
        <w:t xml:space="preserve">Problématique résolue</w:t>
      </w:r>
    </w:p>
    <w:p>
      <w:pPr>
        <w:spacing w:after="80" w:before="80"/>
        <w:jc w:val="both"/>
      </w:pPr>
      <w:r>
        <w:rPr>
          <w:rFonts w:ascii="Calibri" w:cs="Calibri" w:eastAsia="Calibri" w:hAnsi="Calibri"/>
          <w:sz w:val="22"/>
          <w:szCs w:val="22"/>
        </w:rPr>
        <w:t xml:space="preserve">Les conférences de presse restent des événements physiques contraignants. Les journalistes en région ou à l'étranger ne peuvent pas y accéder. L'information officielle perd en portée et en précision.</w:t>
      </w:r>
    </w:p>
    <w:p>
      <w:pPr>
        <w:spacing w:after="40" w:before="80"/>
      </w:pPr>
      <w:r>
        <w:t xml:space="preserve"/>
      </w:r>
    </w:p>
    <w:p>
      <w:pPr>
        <w:spacing w:after="140" w:before="320"/>
      </w:pPr>
      <w:r>
        <w:rPr>
          <w:rFonts w:ascii="Georgia" w:cs="Georgia" w:eastAsia="Georgia" w:hAnsi="Georgia"/>
          <w:b/>
          <w:bCs/>
          <w:color w:val="1A3A5C"/>
          <w:sz w:val="26"/>
          <w:szCs w:val="26"/>
        </w:rPr>
        <w:t xml:space="preserve">Fonctionnalités</w:t>
      </w:r>
    </w:p>
    <w:p>
      <w:pPr>
        <w:spacing w:after="100" w:before="200"/>
      </w:pPr>
      <w:r>
        <w:rPr>
          <w:rFonts w:ascii="Calibri" w:cs="Calibri" w:eastAsia="Calibri" w:hAnsi="Calibri"/>
          <w:b/>
          <w:bCs/>
          <w:color w:val="0D5C63"/>
          <w:sz w:val="23"/>
          <w:szCs w:val="23"/>
        </w:rPr>
        <w:t xml:space="preserve">Diffusion en direct</w:t>
      </w:r>
    </w:p>
    <w:p>
      <w:pPr>
        <w:pStyle w:val="ListParagraph"/>
        <w:numPr>
          <w:ilvl w:val="0"/>
          <w:numId w:val="2"/>
        </w:numPr>
        <w:spacing w:after="60" w:before="60"/>
      </w:pPr>
      <w:r>
        <w:rPr>
          <w:rFonts w:ascii="Calibri" w:cs="Calibri" w:eastAsia="Calibri" w:hAnsi="Calibri"/>
          <w:sz w:val="22"/>
          <w:szCs w:val="22"/>
        </w:rPr>
        <w:t xml:space="preserve">Streaming vidéo HD sécurisé via WebRTC vers tous les accrédités.</w:t>
      </w:r>
    </w:p>
    <w:p>
      <w:pPr>
        <w:pStyle w:val="ListParagraph"/>
        <w:numPr>
          <w:ilvl w:val="0"/>
          <w:numId w:val="2"/>
        </w:numPr>
        <w:spacing w:after="60" w:before="60"/>
      </w:pPr>
      <w:r>
        <w:rPr>
          <w:rFonts w:ascii="Calibri" w:cs="Calibri" w:eastAsia="Calibri" w:hAnsi="Calibri"/>
          <w:sz w:val="22"/>
          <w:szCs w:val="22"/>
        </w:rPr>
        <w:t xml:space="preserve">Lien d'accès personnalisé et non-partageable par journaliste.</w:t>
      </w:r>
    </w:p>
    <w:p>
      <w:pPr>
        <w:pStyle w:val="ListParagraph"/>
        <w:numPr>
          <w:ilvl w:val="0"/>
          <w:numId w:val="2"/>
        </w:numPr>
        <w:spacing w:after="60" w:before="60"/>
      </w:pPr>
      <w:r>
        <w:rPr>
          <w:rFonts w:ascii="Calibri" w:cs="Calibri" w:eastAsia="Calibri" w:hAnsi="Calibri"/>
          <w:sz w:val="22"/>
          <w:szCs w:val="22"/>
        </w:rPr>
        <w:t xml:space="preserve">Salle virtuelle sécurisée — seuls les accrédités valides accèdent.</w:t>
      </w:r>
    </w:p>
    <w:p>
      <w:pPr>
        <w:spacing w:after="100" w:before="200"/>
      </w:pPr>
      <w:r>
        <w:rPr>
          <w:rFonts w:ascii="Calibri" w:cs="Calibri" w:eastAsia="Calibri" w:hAnsi="Calibri"/>
          <w:b/>
          <w:bCs/>
          <w:color w:val="0D5C63"/>
          <w:sz w:val="23"/>
          <w:szCs w:val="23"/>
        </w:rPr>
        <w:t xml:space="preserve">Interaction temps réel</w:t>
      </w:r>
    </w:p>
    <w:p>
      <w:pPr>
        <w:pStyle w:val="ListParagraph"/>
        <w:numPr>
          <w:ilvl w:val="0"/>
          <w:numId w:val="2"/>
        </w:numPr>
        <w:spacing w:after="60" w:before="60"/>
      </w:pPr>
      <w:r>
        <w:rPr>
          <w:rFonts w:ascii="Calibri" w:cs="Calibri" w:eastAsia="Calibri" w:hAnsi="Calibri"/>
          <w:sz w:val="22"/>
          <w:szCs w:val="22"/>
        </w:rPr>
        <w:t xml:space="preserve">Questions-réponses : soumission et sélection en direct.</w:t>
      </w:r>
    </w:p>
    <w:p>
      <w:pPr>
        <w:pStyle w:val="ListParagraph"/>
        <w:numPr>
          <w:ilvl w:val="0"/>
          <w:numId w:val="2"/>
        </w:numPr>
        <w:spacing w:after="60" w:before="60"/>
      </w:pPr>
      <w:r>
        <w:rPr>
          <w:rFonts w:ascii="Calibri" w:cs="Calibri" w:eastAsia="Calibri" w:hAnsi="Calibri"/>
          <w:sz w:val="22"/>
          <w:szCs w:val="22"/>
        </w:rPr>
        <w:t xml:space="preserve">Chat modéré entre accrédités et équipe com.</w:t>
      </w:r>
    </w:p>
    <w:p>
      <w:pPr>
        <w:spacing w:after="100" w:before="200"/>
      </w:pPr>
      <w:r>
        <w:rPr>
          <w:rFonts w:ascii="Calibri" w:cs="Calibri" w:eastAsia="Calibri" w:hAnsi="Calibri"/>
          <w:b/>
          <w:bCs/>
          <w:color w:val="0D5C63"/>
          <w:sz w:val="23"/>
          <w:szCs w:val="23"/>
        </w:rPr>
        <w:t xml:space="preserve">Post-événement</w:t>
      </w:r>
    </w:p>
    <w:p>
      <w:pPr>
        <w:pStyle w:val="ListParagraph"/>
        <w:numPr>
          <w:ilvl w:val="0"/>
          <w:numId w:val="2"/>
        </w:numPr>
        <w:spacing w:after="60" w:before="60"/>
      </w:pPr>
      <w:r>
        <w:rPr>
          <w:rFonts w:ascii="Calibri" w:cs="Calibri" w:eastAsia="Calibri" w:hAnsi="Calibri"/>
          <w:sz w:val="22"/>
          <w:szCs w:val="22"/>
        </w:rPr>
        <w:t xml:space="preserve">Replay disponible dans les 30 minutes.</w:t>
      </w:r>
    </w:p>
    <w:p>
      <w:pPr>
        <w:pStyle w:val="ListParagraph"/>
        <w:numPr>
          <w:ilvl w:val="0"/>
          <w:numId w:val="2"/>
        </w:numPr>
        <w:spacing w:after="60" w:before="60"/>
      </w:pPr>
      <w:r>
        <w:rPr>
          <w:rFonts w:ascii="Calibri" w:cs="Calibri" w:eastAsia="Calibri" w:hAnsi="Calibri"/>
          <w:sz w:val="22"/>
          <w:szCs w:val="22"/>
        </w:rPr>
        <w:t xml:space="preserve">Transcription automatique avec identification des intervenants.</w:t>
      </w:r>
    </w:p>
    <w:p>
      <w:pPr>
        <w:pStyle w:val="ListParagraph"/>
        <w:numPr>
          <w:ilvl w:val="0"/>
          <w:numId w:val="2"/>
        </w:numPr>
        <w:spacing w:after="60" w:before="60"/>
      </w:pPr>
      <w:r>
        <w:rPr>
          <w:rFonts w:ascii="Calibri" w:cs="Calibri" w:eastAsia="Calibri" w:hAnsi="Calibri"/>
          <w:sz w:val="22"/>
          <w:szCs w:val="22"/>
        </w:rPr>
        <w:t xml:space="preserve">Rapport de participation complet.</w:t>
      </w:r>
    </w:p>
    <w:p>
      <w:pPr>
        <w:spacing w:after="80" w:before="120"/>
      </w:pPr>
      <w:r>
        <w:t xml:space="preserve"/>
      </w:r>
    </w:p>
    <w:p>
      <w:r>
        <w:br w:type="page"/>
      </w:r>
    </w:p>
    <w:p>
      <w:pPr>
        <w:pBdr>
          <w:bottom w:val="single" w:color="C8962E" w:sz="8" w:space="6"/>
        </w:pBdr>
        <w:spacing w:after="200" w:before="480"/>
      </w:pPr>
      <w:r>
        <w:rPr>
          <w:rFonts w:ascii="Georgia" w:cs="Georgia" w:eastAsia="Georgia" w:hAnsi="Georgia"/>
          <w:b/>
          <w:bCs/>
          <w:color w:val="0A1628"/>
          <w:sz w:val="32"/>
          <w:szCs w:val="32"/>
        </w:rPr>
        <w:t xml:space="preserve">MODULE M5 — HERALDO VEILLE</w:t>
      </w:r>
    </w:p>
    <w:p>
      <w:pPr>
        <w:spacing w:after="200" w:before="0"/>
      </w:pPr>
      <w:r>
        <w:rPr>
          <w:rFonts w:ascii="Georgia" w:cs="Georgia" w:eastAsia="Georgia" w:hAnsi="Georgia"/>
          <w:i/>
          <w:iCs/>
          <w:color w:val="C8962E"/>
          <w:sz w:val="24"/>
          <w:szCs w:val="24"/>
        </w:rPr>
        <w:t xml:space="preserve">Surveillance médiatique automatique — savoir avant votre ministre</w:t>
      </w:r>
    </w:p>
    <w:p>
      <w:pPr>
        <w:spacing w:after="4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Audience cible</w:t>
            </w:r>
          </w:p>
        </w:tc>
        <w:tc>
          <w:tcPr>
            <w:tcW w:type="dxa" w:w="68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Chargé de communication, cellule de crise, cabinet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Priorité</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 — V1</w:t>
            </w:r>
          </w:p>
        </w:tc>
      </w:tr>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Budget estimé</w:t>
            </w:r>
          </w:p>
        </w:tc>
        <w:tc>
          <w:tcPr>
            <w:tcW w:type="dxa" w:w="68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8 000 000 à 12 000 000 FCFA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KPI principal</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Délai de détection d'une mention &lt; 5 minutes</w:t>
            </w:r>
          </w:p>
        </w:tc>
      </w:tr>
    </w:tbl>
    <w:p>
      <w:pPr>
        <w:spacing w:after="80" w:before="120"/>
      </w:pPr>
      <w:r>
        <w:t xml:space="preserve"/>
      </w:r>
    </w:p>
    <w:p>
      <w:pPr>
        <w:spacing w:after="140" w:before="320"/>
      </w:pPr>
      <w:r>
        <w:rPr>
          <w:rFonts w:ascii="Georgia" w:cs="Georgia" w:eastAsia="Georgia" w:hAnsi="Georgia"/>
          <w:b/>
          <w:bCs/>
          <w:color w:val="1A3A5C"/>
          <w:sz w:val="26"/>
          <w:szCs w:val="26"/>
        </w:rPr>
        <w:t xml:space="preserve">Problématique résolue</w:t>
      </w:r>
    </w:p>
    <w:p>
      <w:pPr>
        <w:spacing w:after="80" w:before="80"/>
        <w:jc w:val="both"/>
      </w:pPr>
      <w:r>
        <w:rPr>
          <w:rFonts w:ascii="Calibri" w:cs="Calibri" w:eastAsia="Calibri" w:hAnsi="Calibri"/>
          <w:sz w:val="22"/>
          <w:szCs w:val="22"/>
        </w:rPr>
        <w:t xml:space="preserve">Aucun outil de veille médiatique automatisé n'existe pour les institutions ivoiriennes. Les chargés de com apprennent ce qui se dit sur leur institution par hasard.</w:t>
      </w:r>
    </w:p>
    <w:p>
      <w:pPr>
        <w:spacing w:after="40" w:before="80"/>
      </w:pPr>
      <w:r>
        <w:t xml:space="preserve"/>
      </w:r>
    </w:p>
    <w:p>
      <w:pPr>
        <w:spacing w:after="140" w:before="320"/>
      </w:pPr>
      <w:r>
        <w:rPr>
          <w:rFonts w:ascii="Georgia" w:cs="Georgia" w:eastAsia="Georgia" w:hAnsi="Georgia"/>
          <w:b/>
          <w:bCs/>
          <w:color w:val="1A3A5C"/>
          <w:sz w:val="26"/>
          <w:szCs w:val="26"/>
        </w:rPr>
        <w:t xml:space="preserve">Fonctionnalités</w:t>
      </w:r>
    </w:p>
    <w:p>
      <w:pPr>
        <w:spacing w:after="100" w:before="200"/>
      </w:pPr>
      <w:r>
        <w:rPr>
          <w:rFonts w:ascii="Calibri" w:cs="Calibri" w:eastAsia="Calibri" w:hAnsi="Calibri"/>
          <w:b/>
          <w:bCs/>
          <w:color w:val="0D5C63"/>
          <w:sz w:val="23"/>
          <w:szCs w:val="23"/>
        </w:rPr>
        <w:t xml:space="preserve">Sources surveillées</w:t>
      </w:r>
    </w:p>
    <w:p>
      <w:pPr>
        <w:pStyle w:val="ListParagraph"/>
        <w:numPr>
          <w:ilvl w:val="0"/>
          <w:numId w:val="2"/>
        </w:numPr>
        <w:spacing w:after="60" w:before="60"/>
      </w:pPr>
      <w:r>
        <w:rPr>
          <w:rFonts w:ascii="Calibri" w:cs="Calibri" w:eastAsia="Calibri" w:hAnsi="Calibri"/>
          <w:sz w:val="22"/>
          <w:szCs w:val="22"/>
        </w:rPr>
        <w:t xml:space="preserve">50+ médias en ligne ivoiriens — flux RSS + scraping.</w:t>
      </w:r>
    </w:p>
    <w:p>
      <w:pPr>
        <w:pStyle w:val="ListParagraph"/>
        <w:numPr>
          <w:ilvl w:val="0"/>
          <w:numId w:val="2"/>
        </w:numPr>
        <w:spacing w:after="60" w:before="60"/>
      </w:pPr>
      <w:r>
        <w:rPr>
          <w:rFonts w:ascii="Calibri" w:cs="Calibri" w:eastAsia="Calibri" w:hAnsi="Calibri"/>
          <w:sz w:val="22"/>
          <w:szCs w:val="22"/>
        </w:rPr>
        <w:t xml:space="preserve">Réseaux sociaux : Facebook, X, LinkedIn.</w:t>
      </w:r>
    </w:p>
    <w:p>
      <w:pPr>
        <w:pStyle w:val="ListParagraph"/>
        <w:numPr>
          <w:ilvl w:val="0"/>
          <w:numId w:val="2"/>
        </w:numPr>
        <w:spacing w:after="60" w:before="60"/>
      </w:pPr>
      <w:r>
        <w:rPr>
          <w:rFonts w:ascii="Calibri" w:cs="Calibri" w:eastAsia="Calibri" w:hAnsi="Calibri"/>
          <w:sz w:val="22"/>
          <w:szCs w:val="22"/>
        </w:rPr>
        <w:t xml:space="preserve">Radios et TV : transcription des JT principaux.</w:t>
      </w:r>
    </w:p>
    <w:p>
      <w:pPr>
        <w:pStyle w:val="ListParagraph"/>
        <w:numPr>
          <w:ilvl w:val="0"/>
          <w:numId w:val="2"/>
        </w:numPr>
        <w:spacing w:after="60" w:before="60"/>
      </w:pPr>
      <w:r>
        <w:rPr>
          <w:rFonts w:ascii="Calibri" w:cs="Calibri" w:eastAsia="Calibri" w:hAnsi="Calibri"/>
          <w:sz w:val="22"/>
          <w:szCs w:val="22"/>
        </w:rPr>
        <w:t xml:space="preserve">Presse diaspora et médias régionaux.</w:t>
      </w:r>
    </w:p>
    <w:p>
      <w:pPr>
        <w:spacing w:after="100" w:before="200"/>
      </w:pPr>
      <w:r>
        <w:rPr>
          <w:rFonts w:ascii="Calibri" w:cs="Calibri" w:eastAsia="Calibri" w:hAnsi="Calibri"/>
          <w:b/>
          <w:bCs/>
          <w:color w:val="0D5C63"/>
          <w:sz w:val="23"/>
          <w:szCs w:val="23"/>
        </w:rPr>
        <w:t xml:space="preserve">Alertes et monitoring</w:t>
      </w:r>
    </w:p>
    <w:p>
      <w:pPr>
        <w:pStyle w:val="ListParagraph"/>
        <w:numPr>
          <w:ilvl w:val="0"/>
          <w:numId w:val="2"/>
        </w:numPr>
        <w:spacing w:after="60" w:before="60"/>
      </w:pPr>
      <w:r>
        <w:rPr>
          <w:rFonts w:ascii="Calibri" w:cs="Calibri" w:eastAsia="Calibri" w:hAnsi="Calibri"/>
          <w:sz w:val="22"/>
          <w:szCs w:val="22"/>
        </w:rPr>
        <w:t xml:space="preserve">Alertes temps réel positif/négatif/neutre.</w:t>
      </w:r>
    </w:p>
    <w:p>
      <w:pPr>
        <w:pStyle w:val="ListParagraph"/>
        <w:numPr>
          <w:ilvl w:val="0"/>
          <w:numId w:val="2"/>
        </w:numPr>
        <w:spacing w:after="60" w:before="60"/>
      </w:pPr>
      <w:r>
        <w:rPr>
          <w:rFonts w:ascii="Calibri" w:cs="Calibri" w:eastAsia="Calibri" w:hAnsi="Calibri"/>
          <w:sz w:val="22"/>
          <w:szCs w:val="22"/>
        </w:rPr>
        <w:t xml:space="preserve">Détection de pic : alerte crise si volume anormal.</w:t>
      </w:r>
    </w:p>
    <w:p>
      <w:pPr>
        <w:pStyle w:val="ListParagraph"/>
        <w:numPr>
          <w:ilvl w:val="0"/>
          <w:numId w:val="2"/>
        </w:numPr>
        <w:spacing w:after="60" w:before="60"/>
      </w:pPr>
      <w:r>
        <w:rPr>
          <w:rFonts w:ascii="Calibri" w:cs="Calibri" w:eastAsia="Calibri" w:hAnsi="Calibri"/>
          <w:sz w:val="22"/>
          <w:szCs w:val="22"/>
        </w:rPr>
        <w:t xml:space="preserve">Rapport matinal automatique à 7h00.</w:t>
      </w:r>
    </w:p>
    <w:p>
      <w:pPr>
        <w:spacing w:after="100" w:before="200"/>
      </w:pPr>
      <w:r>
        <w:rPr>
          <w:rFonts w:ascii="Calibri" w:cs="Calibri" w:eastAsia="Calibri" w:hAnsi="Calibri"/>
          <w:b/>
          <w:bCs/>
          <w:color w:val="0D5C63"/>
          <w:sz w:val="23"/>
          <w:szCs w:val="23"/>
        </w:rPr>
        <w:t xml:space="preserve">Gestion de crise</w:t>
      </w:r>
    </w:p>
    <w:p>
      <w:pPr>
        <w:pStyle w:val="ListParagraph"/>
        <w:numPr>
          <w:ilvl w:val="0"/>
          <w:numId w:val="2"/>
        </w:numPr>
        <w:spacing w:after="60" w:before="60"/>
      </w:pPr>
      <w:r>
        <w:rPr>
          <w:rFonts w:ascii="Calibri" w:cs="Calibri" w:eastAsia="Calibri" w:hAnsi="Calibri"/>
          <w:sz w:val="22"/>
          <w:szCs w:val="22"/>
        </w:rPr>
        <w:t xml:space="preserve">Mode crise : cellule virtuelle, chronomètre de réponse, brouillon réponse officielle.</w:t>
      </w:r>
    </w:p>
    <w:p>
      <w:pPr>
        <w:spacing w:after="80" w:before="120"/>
      </w:pPr>
      <w:r>
        <w:t xml:space="preserve"/>
      </w:r>
    </w:p>
    <w:p>
      <w:r>
        <w:br w:type="page"/>
      </w:r>
    </w:p>
    <w:p>
      <w:pPr>
        <w:pBdr>
          <w:bottom w:val="single" w:color="534AB7" w:sz="8" w:space="6"/>
        </w:pBdr>
        <w:spacing w:after="200" w:before="480"/>
      </w:pPr>
      <w:r>
        <w:rPr>
          <w:rFonts w:ascii="Georgia" w:cs="Georgia" w:eastAsia="Georgia" w:hAnsi="Georgia"/>
          <w:b/>
          <w:bCs/>
          <w:color w:val="0A1628"/>
          <w:sz w:val="32"/>
          <w:szCs w:val="32"/>
        </w:rPr>
        <w:t xml:space="preserve">MODULE M6 — HERALDO ANALYTICS</w:t>
      </w:r>
    </w:p>
    <w:p>
      <w:pPr>
        <w:spacing w:after="200" w:before="0"/>
      </w:pPr>
      <w:r>
        <w:rPr>
          <w:rFonts w:ascii="Georgia" w:cs="Georgia" w:eastAsia="Georgia" w:hAnsi="Georgia"/>
          <w:i/>
          <w:iCs/>
          <w:color w:val="534AB7"/>
          <w:sz w:val="24"/>
          <w:szCs w:val="24"/>
        </w:rPr>
        <w:t xml:space="preserve">De l'envoi à l'impact réel — la communication devient mesurable</w:t>
      </w:r>
    </w:p>
    <w:p>
      <w:pPr>
        <w:spacing w:after="4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Audience cible</w:t>
            </w:r>
          </w:p>
        </w:tc>
        <w:tc>
          <w:tcPr>
            <w:tcW w:type="dxa" w:w="68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Directeur com, Secrétaire Général, Ministre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Priorité</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 — V1</w:t>
            </w:r>
          </w:p>
        </w:tc>
      </w:tr>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Budget estimé</w:t>
            </w:r>
          </w:p>
        </w:tc>
        <w:tc>
          <w:tcPr>
            <w:tcW w:type="dxa" w:w="68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5 000 000 à 7 000 000 FCFA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KPI principal</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Rapport mensuel utilisé par 80% des SG dans les 3 mois</w:t>
            </w:r>
          </w:p>
        </w:tc>
      </w:tr>
    </w:tbl>
    <w:p>
      <w:pPr>
        <w:spacing w:after="80" w:before="120"/>
      </w:pPr>
      <w:r>
        <w:t xml:space="preserve"/>
      </w:r>
    </w:p>
    <w:p>
      <w:pPr>
        <w:spacing w:after="140" w:before="320"/>
      </w:pPr>
      <w:r>
        <w:rPr>
          <w:rFonts w:ascii="Georgia" w:cs="Georgia" w:eastAsia="Georgia" w:hAnsi="Georgia"/>
          <w:b/>
          <w:bCs/>
          <w:color w:val="1A3A5C"/>
          <w:sz w:val="26"/>
          <w:szCs w:val="26"/>
        </w:rPr>
        <w:t xml:space="preserve">Problématique résolue</w:t>
      </w:r>
    </w:p>
    <w:p>
      <w:pPr>
        <w:spacing w:after="80" w:before="80"/>
        <w:jc w:val="both"/>
      </w:pPr>
      <w:r>
        <w:rPr>
          <w:rFonts w:ascii="Calibri" w:cs="Calibri" w:eastAsia="Calibri" w:hAnsi="Calibri"/>
          <w:sz w:val="22"/>
          <w:szCs w:val="22"/>
        </w:rPr>
        <w:t xml:space="preserve">Les chargés de communication ne peuvent pas prouver la valeur de leur travail. Aucune institution ivoirienne ne mesure actuellement l'impact réel de sa communication.</w:t>
      </w:r>
    </w:p>
    <w:p>
      <w:pPr>
        <w:spacing w:after="40" w:before="80"/>
      </w:pPr>
      <w:r>
        <w:t xml:space="preserve"/>
      </w:r>
    </w:p>
    <w:p>
      <w:pPr>
        <w:spacing w:after="140" w:before="320"/>
      </w:pPr>
      <w:r>
        <w:rPr>
          <w:rFonts w:ascii="Georgia" w:cs="Georgia" w:eastAsia="Georgia" w:hAnsi="Georgia"/>
          <w:b/>
          <w:bCs/>
          <w:color w:val="1A3A5C"/>
          <w:sz w:val="26"/>
          <w:szCs w:val="26"/>
        </w:rPr>
        <w:t xml:space="preserve">Fonctionnalités</w:t>
      </w:r>
    </w:p>
    <w:p>
      <w:pPr>
        <w:pStyle w:val="ListParagraph"/>
        <w:numPr>
          <w:ilvl w:val="0"/>
          <w:numId w:val="2"/>
        </w:numPr>
        <w:spacing w:after="60" w:before="60"/>
      </w:pPr>
      <w:r>
        <w:rPr>
          <w:rFonts w:ascii="Calibri" w:cs="Calibri" w:eastAsia="Calibri" w:hAnsi="Calibri"/>
          <w:sz w:val="22"/>
          <w:szCs w:val="22"/>
        </w:rPr>
        <w:t xml:space="preserve">Portée finale estimée : croisement données HERALDO + audience médias.</w:t>
      </w:r>
    </w:p>
    <w:p>
      <w:pPr>
        <w:pStyle w:val="ListParagraph"/>
        <w:numPr>
          <w:ilvl w:val="0"/>
          <w:numId w:val="2"/>
        </w:numPr>
        <w:spacing w:after="60" w:before="60"/>
      </w:pPr>
      <w:r>
        <w:rPr>
          <w:rFonts w:ascii="Calibri" w:cs="Calibri" w:eastAsia="Calibri" w:hAnsi="Calibri"/>
          <w:sz w:val="22"/>
          <w:szCs w:val="22"/>
        </w:rPr>
        <w:t xml:space="preserve">Taux de conversion communiqué → article publié.</w:t>
      </w:r>
    </w:p>
    <w:p>
      <w:pPr>
        <w:pStyle w:val="ListParagraph"/>
        <w:numPr>
          <w:ilvl w:val="0"/>
          <w:numId w:val="2"/>
        </w:numPr>
        <w:spacing w:after="60" w:before="60"/>
      </w:pPr>
      <w:r>
        <w:rPr>
          <w:rFonts w:ascii="Calibri" w:cs="Calibri" w:eastAsia="Calibri" w:hAnsi="Calibri"/>
          <w:sz w:val="22"/>
          <w:szCs w:val="22"/>
        </w:rPr>
        <w:t xml:space="preserve">Classement journalistes par impact généré.</w:t>
      </w:r>
    </w:p>
    <w:p>
      <w:pPr>
        <w:pStyle w:val="ListParagraph"/>
        <w:numPr>
          <w:ilvl w:val="0"/>
          <w:numId w:val="2"/>
        </w:numPr>
        <w:spacing w:after="60" w:before="60"/>
      </w:pPr>
      <w:r>
        <w:rPr>
          <w:rFonts w:ascii="Calibri" w:cs="Calibri" w:eastAsia="Calibri" w:hAnsi="Calibri"/>
          <w:sz w:val="22"/>
          <w:szCs w:val="22"/>
        </w:rPr>
        <w:t xml:space="preserve">Rapport hebdomadaire chargé de com, mensuel SG, trimestriel Ministre.</w:t>
      </w:r>
    </w:p>
    <w:p>
      <w:pPr>
        <w:pStyle w:val="ListParagraph"/>
        <w:numPr>
          <w:ilvl w:val="0"/>
          <w:numId w:val="2"/>
        </w:numPr>
        <w:spacing w:after="60" w:before="60"/>
      </w:pPr>
      <w:r>
        <w:rPr>
          <w:rFonts w:ascii="Calibri" w:cs="Calibri" w:eastAsia="Calibri" w:hAnsi="Calibri"/>
          <w:sz w:val="22"/>
          <w:szCs w:val="22"/>
        </w:rPr>
        <w:t xml:space="preserve">Export PDF + PowerPoint en un clic.</w:t>
      </w:r>
    </w:p>
    <w:p>
      <w:pPr>
        <w:pStyle w:val="ListParagraph"/>
        <w:numPr>
          <w:ilvl w:val="0"/>
          <w:numId w:val="2"/>
        </w:numPr>
        <w:spacing w:after="60" w:before="60"/>
      </w:pPr>
      <w:r>
        <w:rPr>
          <w:rFonts w:ascii="Calibri" w:cs="Calibri" w:eastAsia="Calibri" w:hAnsi="Calibri"/>
          <w:sz w:val="22"/>
          <w:szCs w:val="22"/>
        </w:rPr>
        <w:t xml:space="preserve">Analyse thématique et suggestions d'optimisation.</w:t>
      </w:r>
    </w:p>
    <w:p>
      <w:pPr>
        <w:spacing w:after="80" w:before="120"/>
      </w:pPr>
      <w:r>
        <w:t xml:space="preserve"/>
      </w:r>
    </w:p>
    <w:p>
      <w:r>
        <w:br w:type="page"/>
      </w:r>
    </w:p>
    <w:p>
      <w:pPr>
        <w:pBdr>
          <w:bottom w:val="single" w:color="0D5C63" w:sz="8" w:space="6"/>
        </w:pBdr>
        <w:spacing w:after="200" w:before="480"/>
      </w:pPr>
      <w:r>
        <w:rPr>
          <w:rFonts w:ascii="Georgia" w:cs="Georgia" w:eastAsia="Georgia" w:hAnsi="Georgia"/>
          <w:b/>
          <w:bCs/>
          <w:color w:val="0A1628"/>
          <w:sz w:val="32"/>
          <w:szCs w:val="32"/>
        </w:rPr>
        <w:t xml:space="preserve">MODULE M7 — HERALDO CITIZEN</w:t>
      </w:r>
    </w:p>
    <w:p>
      <w:pPr>
        <w:spacing w:after="200" w:before="0"/>
      </w:pPr>
      <w:r>
        <w:rPr>
          <w:rFonts w:ascii="Georgia" w:cs="Georgia" w:eastAsia="Georgia" w:hAnsi="Georgia"/>
          <w:i/>
          <w:iCs/>
          <w:color w:val="0D5C63"/>
          <w:sz w:val="24"/>
          <w:szCs w:val="24"/>
        </w:rPr>
        <w:t xml:space="preserve">Canal direct citoyens — SMS, WhatsApp, push depuis une interface</w:t>
      </w:r>
    </w:p>
    <w:p>
      <w:pPr>
        <w:spacing w:after="4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Audience cible</w:t>
            </w:r>
          </w:p>
        </w:tc>
        <w:tc>
          <w:tcPr>
            <w:tcW w:type="dxa" w:w="68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Mairies, directions régionales, Ministère de l'Intérieur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Priorité</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P1 — V2</w:t>
            </w:r>
          </w:p>
        </w:tc>
      </w:tr>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Budget estimé</w:t>
            </w:r>
          </w:p>
        </w:tc>
        <w:tc>
          <w:tcPr>
            <w:tcW w:type="dxa" w:w="68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7 000 000 à 10 000 000 FCFA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KPI principal</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Taux d'abonnement citoyen &gt; 5% de la population cible en 6 mois</w:t>
            </w:r>
          </w:p>
        </w:tc>
      </w:tr>
    </w:tbl>
    <w:p>
      <w:pPr>
        <w:spacing w:after="80" w:before="120"/>
      </w:pPr>
      <w:r>
        <w:t xml:space="preserve"/>
      </w:r>
    </w:p>
    <w:p>
      <w:pPr>
        <w:spacing w:after="140" w:before="320"/>
      </w:pPr>
      <w:r>
        <w:rPr>
          <w:rFonts w:ascii="Georgia" w:cs="Georgia" w:eastAsia="Georgia" w:hAnsi="Georgia"/>
          <w:b/>
          <w:bCs/>
          <w:color w:val="1A3A5C"/>
          <w:sz w:val="26"/>
          <w:szCs w:val="26"/>
        </w:rPr>
        <w:t xml:space="preserve">Problématique résolue</w:t>
      </w:r>
    </w:p>
    <w:p>
      <w:pPr>
        <w:spacing w:after="80" w:before="80"/>
        <w:jc w:val="both"/>
      </w:pPr>
      <w:r>
        <w:rPr>
          <w:rFonts w:ascii="Calibri" w:cs="Calibri" w:eastAsia="Calibri" w:hAnsi="Calibri"/>
          <w:sz w:val="22"/>
          <w:szCs w:val="22"/>
        </w:rPr>
        <w:t xml:space="preserve">Les institutions ne communiquent pas directement avec les citoyens. Une coupure d'eau, un arrêté municipal — le citoyen l'apprend par hasard ou pas du tout.</w:t>
      </w:r>
    </w:p>
    <w:p>
      <w:pPr>
        <w:spacing w:after="40" w:before="80"/>
      </w:pPr>
      <w:r>
        <w:t xml:space="preserve"/>
      </w:r>
    </w:p>
    <w:p>
      <w:pPr>
        <w:spacing w:after="140" w:before="320"/>
      </w:pPr>
      <w:r>
        <w:rPr>
          <w:rFonts w:ascii="Georgia" w:cs="Georgia" w:eastAsia="Georgia" w:hAnsi="Georgia"/>
          <w:b/>
          <w:bCs/>
          <w:color w:val="1A3A5C"/>
          <w:sz w:val="26"/>
          <w:szCs w:val="26"/>
        </w:rPr>
        <w:t xml:space="preserve">Fonctionnalités</w:t>
      </w:r>
    </w:p>
    <w:p>
      <w:pPr>
        <w:pStyle w:val="ListParagraph"/>
        <w:numPr>
          <w:ilvl w:val="0"/>
          <w:numId w:val="2"/>
        </w:numPr>
        <w:spacing w:after="60" w:before="60"/>
      </w:pPr>
      <w:r>
        <w:rPr>
          <w:rFonts w:ascii="Calibri" w:cs="Calibri" w:eastAsia="Calibri" w:hAnsi="Calibri"/>
          <w:sz w:val="22"/>
          <w:szCs w:val="22"/>
        </w:rPr>
        <w:t xml:space="preserve">Un envoi → journaliste HERALDO + citoyen WhatsApp/SMS simultanément.</w:t>
      </w:r>
    </w:p>
    <w:p>
      <w:pPr>
        <w:pStyle w:val="ListParagraph"/>
        <w:numPr>
          <w:ilvl w:val="0"/>
          <w:numId w:val="2"/>
        </w:numPr>
        <w:spacing w:after="60" w:before="60"/>
      </w:pPr>
      <w:r>
        <w:rPr>
          <w:rFonts w:ascii="Calibri" w:cs="Calibri" w:eastAsia="Calibri" w:hAnsi="Calibri"/>
          <w:sz w:val="22"/>
          <w:szCs w:val="22"/>
        </w:rPr>
        <w:t xml:space="preserve">Segmentation géographique par commune, quartier, arrondissement.</w:t>
      </w:r>
    </w:p>
    <w:p>
      <w:pPr>
        <w:pStyle w:val="ListParagraph"/>
        <w:numPr>
          <w:ilvl w:val="0"/>
          <w:numId w:val="2"/>
        </w:numPr>
        <w:spacing w:after="60" w:before="60"/>
      </w:pPr>
      <w:r>
        <w:rPr>
          <w:rFonts w:ascii="Calibri" w:cs="Calibri" w:eastAsia="Calibri" w:hAnsi="Calibri"/>
          <w:sz w:val="22"/>
          <w:szCs w:val="22"/>
        </w:rPr>
        <w:t xml:space="preserve">Alertes urgentes : coupures, intempéries, convocations.</w:t>
      </w:r>
    </w:p>
    <w:p>
      <w:pPr>
        <w:pStyle w:val="ListParagraph"/>
        <w:numPr>
          <w:ilvl w:val="0"/>
          <w:numId w:val="2"/>
        </w:numPr>
        <w:spacing w:after="60" w:before="60"/>
      </w:pPr>
      <w:r>
        <w:rPr>
          <w:rFonts w:ascii="Calibri" w:cs="Calibri" w:eastAsia="Calibri" w:hAnsi="Calibri"/>
          <w:sz w:val="22"/>
          <w:szCs w:val="22"/>
        </w:rPr>
        <w:t xml:space="preserve">Abonnement citoyen par QR code affiché en mairie.</w:t>
      </w:r>
    </w:p>
    <w:p>
      <w:pPr>
        <w:pStyle w:val="ListParagraph"/>
        <w:numPr>
          <w:ilvl w:val="0"/>
          <w:numId w:val="2"/>
        </w:numPr>
        <w:spacing w:after="60" w:before="60"/>
      </w:pPr>
      <w:r>
        <w:rPr>
          <w:rFonts w:ascii="Calibri" w:cs="Calibri" w:eastAsia="Calibri" w:hAnsi="Calibri"/>
          <w:sz w:val="22"/>
          <w:szCs w:val="22"/>
        </w:rPr>
        <w:t xml:space="preserve">Conformité RGPD et opt-out permanent.</w:t>
      </w:r>
    </w:p>
    <w:p>
      <w:pPr>
        <w:spacing w:after="80" w:before="120"/>
      </w:pPr>
      <w:r>
        <w:t xml:space="preserve"/>
      </w:r>
    </w:p>
    <w:p>
      <w:r>
        <w:br w:type="page"/>
      </w:r>
    </w:p>
    <w:p>
      <w:pPr>
        <w:pBdr>
          <w:bottom w:val="single" w:color="444441" w:sz="8" w:space="6"/>
        </w:pBdr>
        <w:spacing w:after="200" w:before="480"/>
      </w:pPr>
      <w:r>
        <w:rPr>
          <w:rFonts w:ascii="Georgia" w:cs="Georgia" w:eastAsia="Georgia" w:hAnsi="Georgia"/>
          <w:b/>
          <w:bCs/>
          <w:color w:val="0A1628"/>
          <w:sz w:val="32"/>
          <w:szCs w:val="32"/>
        </w:rPr>
        <w:t xml:space="preserve">MODULE M8 — HERALDO ARCHIVE</w:t>
      </w:r>
    </w:p>
    <w:p>
      <w:pPr>
        <w:spacing w:after="200" w:before="0"/>
      </w:pPr>
      <w:r>
        <w:rPr>
          <w:rFonts w:ascii="Georgia" w:cs="Georgia" w:eastAsia="Georgia" w:hAnsi="Georgia"/>
          <w:i/>
          <w:iCs/>
          <w:color w:val="444441"/>
          <w:sz w:val="24"/>
          <w:szCs w:val="24"/>
        </w:rPr>
        <w:t xml:space="preserve">La mémoire institutionnelle officielle — tout archivé, rien perdu</w:t>
      </w:r>
    </w:p>
    <w:p>
      <w:pPr>
        <w:spacing w:after="4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Audience cible</w:t>
            </w:r>
          </w:p>
        </w:tc>
        <w:tc>
          <w:tcPr>
            <w:tcW w:type="dxa" w:w="68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Directions com, Secrétariats Généraux, Archives nationales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Priorité</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P1 — V2</w:t>
            </w:r>
          </w:p>
        </w:tc>
      </w:tr>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Budget estimé</w:t>
            </w:r>
          </w:p>
        </w:tc>
        <w:tc>
          <w:tcPr>
            <w:tcW w:type="dxa" w:w="68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4 000 000 à 6 000 000 FCFA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KPI principal</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100% des communications archivées et retrouvables en &lt; 30 secondes</w:t>
            </w:r>
          </w:p>
        </w:tc>
      </w:tr>
    </w:tbl>
    <w:p>
      <w:pPr>
        <w:spacing w:after="80" w:before="120"/>
      </w:pPr>
      <w:r>
        <w:t xml:space="preserve"/>
      </w:r>
    </w:p>
    <w:p>
      <w:pPr>
        <w:spacing w:after="140" w:before="320"/>
      </w:pPr>
      <w:r>
        <w:rPr>
          <w:rFonts w:ascii="Georgia" w:cs="Georgia" w:eastAsia="Georgia" w:hAnsi="Georgia"/>
          <w:b/>
          <w:bCs/>
          <w:color w:val="1A3A5C"/>
          <w:sz w:val="26"/>
          <w:szCs w:val="26"/>
        </w:rPr>
        <w:t xml:space="preserve">Problématique résolue</w:t>
      </w:r>
    </w:p>
    <w:p>
      <w:pPr>
        <w:spacing w:after="80" w:before="80"/>
        <w:jc w:val="both"/>
      </w:pPr>
      <w:r>
        <w:rPr>
          <w:rFonts w:ascii="Calibri" w:cs="Calibri" w:eastAsia="Calibri" w:hAnsi="Calibri"/>
          <w:sz w:val="22"/>
          <w:szCs w:val="22"/>
        </w:rPr>
        <w:t xml:space="preserve">Les institutions n'ont pas de mémoire numérique organisée. Les communiqués se perdent dans des boîtes mail. Un journaliste ne peut pas retrouver la position officielle d'un ministère en 2022.</w:t>
      </w:r>
    </w:p>
    <w:p>
      <w:pPr>
        <w:spacing w:after="40" w:before="80"/>
      </w:pPr>
      <w:r>
        <w:t xml:space="preserve"/>
      </w:r>
    </w:p>
    <w:p>
      <w:pPr>
        <w:spacing w:after="140" w:before="320"/>
      </w:pPr>
      <w:r>
        <w:rPr>
          <w:rFonts w:ascii="Georgia" w:cs="Georgia" w:eastAsia="Georgia" w:hAnsi="Georgia"/>
          <w:b/>
          <w:bCs/>
          <w:color w:val="1A3A5C"/>
          <w:sz w:val="26"/>
          <w:szCs w:val="26"/>
        </w:rPr>
        <w:t xml:space="preserve">Fonctionnalités</w:t>
      </w:r>
    </w:p>
    <w:p>
      <w:pPr>
        <w:pStyle w:val="ListParagraph"/>
        <w:numPr>
          <w:ilvl w:val="0"/>
          <w:numId w:val="2"/>
        </w:numPr>
        <w:spacing w:after="60" w:before="60"/>
      </w:pPr>
      <w:r>
        <w:rPr>
          <w:rFonts w:ascii="Calibri" w:cs="Calibri" w:eastAsia="Calibri" w:hAnsi="Calibri"/>
          <w:sz w:val="22"/>
          <w:szCs w:val="22"/>
        </w:rPr>
        <w:t xml:space="preserve">Archivage automatique de tout communiqué envoyé via HERALDO.</w:t>
      </w:r>
    </w:p>
    <w:p>
      <w:pPr>
        <w:pStyle w:val="ListParagraph"/>
        <w:numPr>
          <w:ilvl w:val="0"/>
          <w:numId w:val="2"/>
        </w:numPr>
        <w:spacing w:after="60" w:before="60"/>
      </w:pPr>
      <w:r>
        <w:rPr>
          <w:rFonts w:ascii="Calibri" w:cs="Calibri" w:eastAsia="Calibri" w:hAnsi="Calibri"/>
          <w:sz w:val="22"/>
          <w:szCs w:val="22"/>
        </w:rPr>
        <w:t xml:space="preserve">Import rétroactif d'archives existantes.</w:t>
      </w:r>
    </w:p>
    <w:p>
      <w:pPr>
        <w:pStyle w:val="ListParagraph"/>
        <w:numPr>
          <w:ilvl w:val="0"/>
          <w:numId w:val="2"/>
        </w:numPr>
        <w:spacing w:after="60" w:before="60"/>
      </w:pPr>
      <w:r>
        <w:rPr>
          <w:rFonts w:ascii="Calibri" w:cs="Calibri" w:eastAsia="Calibri" w:hAnsi="Calibri"/>
          <w:sz w:val="22"/>
          <w:szCs w:val="22"/>
        </w:rPr>
        <w:t xml:space="preserve">Recherche full-text dans tous les documents.</w:t>
      </w:r>
    </w:p>
    <w:p>
      <w:pPr>
        <w:pStyle w:val="ListParagraph"/>
        <w:numPr>
          <w:ilvl w:val="0"/>
          <w:numId w:val="2"/>
        </w:numPr>
        <w:spacing w:after="60" w:before="60"/>
      </w:pPr>
      <w:r>
        <w:rPr>
          <w:rFonts w:ascii="Calibri" w:cs="Calibri" w:eastAsia="Calibri" w:hAnsi="Calibri"/>
          <w:sz w:val="22"/>
          <w:szCs w:val="22"/>
        </w:rPr>
        <w:t xml:space="preserve">Hash cryptographique garantissant l'intégrité — aucune modification post-archivage.</w:t>
      </w:r>
    </w:p>
    <w:p>
      <w:pPr>
        <w:pStyle w:val="ListParagraph"/>
        <w:numPr>
          <w:ilvl w:val="0"/>
          <w:numId w:val="2"/>
        </w:numPr>
        <w:spacing w:after="60" w:before="60"/>
      </w:pPr>
      <w:r>
        <w:rPr>
          <w:rFonts w:ascii="Calibri" w:cs="Calibri" w:eastAsia="Calibri" w:hAnsi="Calibri"/>
          <w:sz w:val="22"/>
          <w:szCs w:val="22"/>
        </w:rPr>
        <w:t xml:space="preserve">Horodatage légal certifié et opposable.</w:t>
      </w:r>
    </w:p>
    <w:p>
      <w:pPr>
        <w:pStyle w:val="ListParagraph"/>
        <w:numPr>
          <w:ilvl w:val="0"/>
          <w:numId w:val="2"/>
        </w:numPr>
        <w:spacing w:after="60" w:before="60"/>
      </w:pPr>
      <w:r>
        <w:rPr>
          <w:rFonts w:ascii="Calibri" w:cs="Calibri" w:eastAsia="Calibri" w:hAnsi="Calibri"/>
          <w:sz w:val="22"/>
          <w:szCs w:val="22"/>
        </w:rPr>
        <w:t xml:space="preserve">Interface publique optionnelle + API journalistes accrédités.</w:t>
      </w:r>
    </w:p>
    <w:p>
      <w:pPr>
        <w:spacing w:after="80" w:before="120"/>
      </w:pPr>
      <w:r>
        <w:t xml:space="preserve"/>
      </w:r>
    </w:p>
    <w:p>
      <w:r>
        <w:br w:type="page"/>
      </w:r>
    </w:p>
    <w:p>
      <w:pPr>
        <w:pBdr>
          <w:bottom w:val="single" w:color="7F1D1D" w:sz="8" w:space="6"/>
        </w:pBdr>
        <w:spacing w:after="200" w:before="480"/>
      </w:pPr>
      <w:r>
        <w:rPr>
          <w:rFonts w:ascii="Georgia" w:cs="Georgia" w:eastAsia="Georgia" w:hAnsi="Georgia"/>
          <w:b/>
          <w:bCs/>
          <w:color w:val="0A1628"/>
          <w:sz w:val="32"/>
          <w:szCs w:val="32"/>
        </w:rPr>
        <w:t xml:space="preserve">MODULE M9 — HERALDO ACCREDIT</w:t>
      </w:r>
    </w:p>
    <w:p>
      <w:pPr>
        <w:spacing w:after="200" w:before="0"/>
      </w:pPr>
      <w:r>
        <w:rPr>
          <w:rFonts w:ascii="Georgia" w:cs="Georgia" w:eastAsia="Georgia" w:hAnsi="Georgia"/>
          <w:i/>
          <w:iCs/>
          <w:color w:val="7F1D1D"/>
          <w:sz w:val="24"/>
          <w:szCs w:val="24"/>
        </w:rPr>
        <w:t xml:space="preserve">Plateforme officielle d'accréditation journaliste — QR code, dossier numérique</w:t>
      </w:r>
    </w:p>
    <w:p>
      <w:pPr>
        <w:spacing w:after="4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Audience cible</w:t>
            </w:r>
          </w:p>
        </w:tc>
        <w:tc>
          <w:tcPr>
            <w:tcW w:type="dxa" w:w="68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Directions de la communication de toutes les institutions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Priorité</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P1 — V2</w:t>
            </w:r>
          </w:p>
        </w:tc>
      </w:tr>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Budget estimé</w:t>
            </w:r>
          </w:p>
        </w:tc>
        <w:tc>
          <w:tcPr>
            <w:tcW w:type="dxa" w:w="68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5 000 000 à 7 000 000 FCFA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KPI principal</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HERALDO ACCREDIT devient le standard pour 80% des institutions en 18 mois</w:t>
            </w:r>
          </w:p>
        </w:tc>
      </w:tr>
    </w:tbl>
    <w:p>
      <w:pPr>
        <w:spacing w:after="80" w:before="120"/>
      </w:pPr>
      <w:r>
        <w:t xml:space="preserve"/>
      </w:r>
    </w:p>
    <w:p>
      <w:pPr>
        <w:spacing w:after="140" w:before="320"/>
      </w:pPr>
      <w:r>
        <w:rPr>
          <w:rFonts w:ascii="Georgia" w:cs="Georgia" w:eastAsia="Georgia" w:hAnsi="Georgia"/>
          <w:b/>
          <w:bCs/>
          <w:color w:val="1A3A5C"/>
          <w:sz w:val="26"/>
          <w:szCs w:val="26"/>
        </w:rPr>
        <w:t xml:space="preserve">Problématique résolue</w:t>
      </w:r>
    </w:p>
    <w:p>
      <w:pPr>
        <w:spacing w:after="80" w:before="80"/>
        <w:jc w:val="both"/>
      </w:pPr>
      <w:r>
        <w:rPr>
          <w:rFonts w:ascii="Calibri" w:cs="Calibri" w:eastAsia="Calibri" w:hAnsi="Calibri"/>
          <w:sz w:val="22"/>
          <w:szCs w:val="22"/>
        </w:rPr>
        <w:t xml:space="preserve">La gestion des accréditations est un chaos. Chaque ministère a sa propre liste sur Excel. Des journalistes non accrédités accèdent aux événements, des légitimes sont refusés.</w:t>
      </w:r>
    </w:p>
    <w:p>
      <w:pPr>
        <w:spacing w:after="40" w:before="80"/>
      </w:pPr>
      <w:r>
        <w:t xml:space="preserve"/>
      </w:r>
    </w:p>
    <w:p>
      <w:pPr>
        <w:spacing w:after="140" w:before="320"/>
      </w:pPr>
      <w:r>
        <w:rPr>
          <w:rFonts w:ascii="Georgia" w:cs="Georgia" w:eastAsia="Georgia" w:hAnsi="Georgia"/>
          <w:b/>
          <w:bCs/>
          <w:color w:val="1A3A5C"/>
          <w:sz w:val="26"/>
          <w:szCs w:val="26"/>
        </w:rPr>
        <w:t xml:space="preserve">Fonctionnalités</w:t>
      </w:r>
    </w:p>
    <w:p>
      <w:pPr>
        <w:pStyle w:val="ListParagraph"/>
        <w:numPr>
          <w:ilvl w:val="0"/>
          <w:numId w:val="2"/>
        </w:numPr>
        <w:spacing w:after="60" w:before="60"/>
      </w:pPr>
      <w:r>
        <w:rPr>
          <w:rFonts w:ascii="Calibri" w:cs="Calibri" w:eastAsia="Calibri" w:hAnsi="Calibri"/>
          <w:sz w:val="22"/>
          <w:szCs w:val="22"/>
        </w:rPr>
        <w:t xml:space="preserve">Dossier d'accréditation numérique complet avec workflow de validation.</w:t>
      </w:r>
    </w:p>
    <w:p>
      <w:pPr>
        <w:pStyle w:val="ListParagraph"/>
        <w:numPr>
          <w:ilvl w:val="0"/>
          <w:numId w:val="2"/>
        </w:numPr>
        <w:spacing w:after="60" w:before="60"/>
      </w:pPr>
      <w:r>
        <w:rPr>
          <w:rFonts w:ascii="Calibri" w:cs="Calibri" w:eastAsia="Calibri" w:hAnsi="Calibri"/>
          <w:sz w:val="22"/>
          <w:szCs w:val="22"/>
        </w:rPr>
        <w:t xml:space="preserve">QR code unique vérifiable à l'entrée des événements.</w:t>
      </w:r>
    </w:p>
    <w:p>
      <w:pPr>
        <w:pStyle w:val="ListParagraph"/>
        <w:numPr>
          <w:ilvl w:val="0"/>
          <w:numId w:val="2"/>
        </w:numPr>
        <w:spacing w:after="60" w:before="60"/>
      </w:pPr>
      <w:r>
        <w:rPr>
          <w:rFonts w:ascii="Calibri" w:cs="Calibri" w:eastAsia="Calibri" w:hAnsi="Calibri"/>
          <w:sz w:val="22"/>
          <w:szCs w:val="22"/>
        </w:rPr>
        <w:t xml:space="preserve">Application de vérification pour agents d'accueil.</w:t>
      </w:r>
    </w:p>
    <w:p>
      <w:pPr>
        <w:pStyle w:val="ListParagraph"/>
        <w:numPr>
          <w:ilvl w:val="0"/>
          <w:numId w:val="2"/>
        </w:numPr>
        <w:spacing w:after="60" w:before="60"/>
      </w:pPr>
      <w:r>
        <w:rPr>
          <w:rFonts w:ascii="Calibri" w:cs="Calibri" w:eastAsia="Calibri" w:hAnsi="Calibri"/>
          <w:sz w:val="22"/>
          <w:szCs w:val="22"/>
        </w:rPr>
        <w:t xml:space="preserve">Annuaire national des journalistes accrédités.</w:t>
      </w:r>
    </w:p>
    <w:p>
      <w:pPr>
        <w:pStyle w:val="ListParagraph"/>
        <w:numPr>
          <w:ilvl w:val="0"/>
          <w:numId w:val="2"/>
        </w:numPr>
        <w:spacing w:after="60" w:before="60"/>
      </w:pPr>
      <w:r>
        <w:rPr>
          <w:rFonts w:ascii="Calibri" w:cs="Calibri" w:eastAsia="Calibri" w:hAnsi="Calibri"/>
          <w:sz w:val="22"/>
          <w:szCs w:val="22"/>
        </w:rPr>
        <w:t xml:space="preserve">Statistiques de couverture par journaliste.</w:t>
      </w:r>
    </w:p>
    <w:p>
      <w:pPr>
        <w:spacing w:after="80" w:before="120"/>
      </w:pPr>
      <w:r>
        <w:t xml:space="preserve"/>
      </w:r>
    </w:p>
    <w:p>
      <w:r>
        <w:br w:type="page"/>
      </w:r>
    </w:p>
    <w:p>
      <w:pPr>
        <w:pBdr>
          <w:bottom w:val="single" w:color="1D4ED8" w:sz="8" w:space="6"/>
        </w:pBdr>
        <w:spacing w:after="200" w:before="480"/>
      </w:pPr>
      <w:r>
        <w:rPr>
          <w:rFonts w:ascii="Georgia" w:cs="Georgia" w:eastAsia="Georgia" w:hAnsi="Georgia"/>
          <w:b/>
          <w:bCs/>
          <w:color w:val="0A1628"/>
          <w:sz w:val="32"/>
          <w:szCs w:val="32"/>
        </w:rPr>
        <w:t xml:space="preserve">MODULE M10 — HERALDO AGENCE</w:t>
      </w:r>
    </w:p>
    <w:p>
      <w:pPr>
        <w:spacing w:after="200" w:before="0"/>
      </w:pPr>
      <w:r>
        <w:rPr>
          <w:rFonts w:ascii="Georgia" w:cs="Georgia" w:eastAsia="Georgia" w:hAnsi="Georgia"/>
          <w:i/>
          <w:iCs/>
          <w:color w:val="1D4ED8"/>
          <w:sz w:val="24"/>
          <w:szCs w:val="24"/>
        </w:rPr>
        <w:t xml:space="preserve">Le cockpit des agences RP et attachés de presse — multi-clients, marque blanche, rapport automatique</w:t>
      </w:r>
    </w:p>
    <w:p>
      <w:pPr>
        <w:spacing w:after="4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Audience cible</w:t>
            </w:r>
          </w:p>
        </w:tc>
        <w:tc>
          <w:tcPr>
            <w:tcW w:type="dxa" w:w="68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Attachés de presse indépendants (3-15 clients) et agences RP (2-20 personnes)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Priorité</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 — V1 — Segment stratégique pour l'acquisition institutionnelle</w:t>
            </w:r>
          </w:p>
        </w:tc>
      </w:tr>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Budget estimé</w:t>
            </w:r>
          </w:p>
        </w:tc>
        <w:tc>
          <w:tcPr>
            <w:tcW w:type="dxa" w:w="68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31 000 000 à 46 000 000 FCFA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KPI principal</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50 agences actives en 12 mois → effet réseau vers 200+ institutions clientes</w:t>
            </w:r>
          </w:p>
        </w:tc>
      </w:tr>
    </w:tbl>
    <w:p>
      <w:pPr>
        <w:spacing w:after="80" w:before="120"/>
      </w:pPr>
      <w:r>
        <w:t xml:space="preserve"/>
      </w:r>
    </w:p>
    <w:p>
      <w:pPr>
        <w:spacing w:after="140" w:before="320"/>
      </w:pPr>
      <w:r>
        <w:rPr>
          <w:rFonts w:ascii="Georgia" w:cs="Georgia" w:eastAsia="Georgia" w:hAnsi="Georgia"/>
          <w:b/>
          <w:bCs/>
          <w:color w:val="1A3A5C"/>
          <w:sz w:val="26"/>
          <w:szCs w:val="26"/>
        </w:rPr>
        <w:t xml:space="preserve">Problématique résolue</w:t>
      </w:r>
    </w:p>
    <w:p>
      <w:pPr>
        <w:spacing w:after="80" w:before="80"/>
        <w:jc w:val="both"/>
      </w:pPr>
      <w:r>
        <w:rPr>
          <w:rFonts w:ascii="Calibri" w:cs="Calibri" w:eastAsia="Calibri" w:hAnsi="Calibri"/>
          <w:sz w:val="22"/>
          <w:szCs w:val="22"/>
        </w:rPr>
        <w:t xml:space="preserve">L'attaché de presse jongle entre des boîtes mail distinctes, envoie des communiqués depuis Gmail, produit des rapports manuellement et n'a aucun outil professionnel dédié à son métier. HERALDO AGENCE est son cockpit de pilotage — multi-clients, en marque blanche, depuis son téléphone.</w:t>
      </w:r>
    </w:p>
    <w:p>
      <w:pPr>
        <w:spacing w:after="40" w:before="80"/>
      </w:pPr>
      <w:r>
        <w:t xml:space="preserve"/>
      </w:r>
    </w:p>
    <w:p>
      <w:pPr>
        <w:spacing w:after="140" w:before="320"/>
      </w:pPr>
      <w:r>
        <w:rPr>
          <w:rFonts w:ascii="Georgia" w:cs="Georgia" w:eastAsia="Georgia" w:hAnsi="Georgia"/>
          <w:b/>
          <w:bCs/>
          <w:color w:val="1A3A5C"/>
          <w:sz w:val="26"/>
          <w:szCs w:val="26"/>
        </w:rPr>
        <w:t xml:space="preserve">Les 9 sous-modules AGENCE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800"/>
        <w:gridCol w:w="1313"/>
        <w:gridCol w:w="1313"/>
      </w:tblGrid>
      <w:tr>
        <w:tc>
          <w:tcPr>
            <w:tcW w:type="dxa" w:w="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Sous-module</w:t>
            </w:r>
          </w:p>
        </w:tc>
        <w:tc>
          <w:tcPr>
            <w:tcW w:type="dxa" w:w="3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Rôle</w:t>
            </w:r>
          </w:p>
        </w:tc>
        <w:tc>
          <w:tcPr>
            <w:tcW w:type="dxa" w:w="1313"/>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Priorité</w:t>
            </w:r>
          </w:p>
        </w:tc>
        <w:tc>
          <w:tcPr>
            <w:tcW w:type="dxa" w:w="1313"/>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Version</w:t>
            </w:r>
          </w:p>
        </w:tc>
      </w:tr>
      <w:tr>
        <w:tc>
          <w:tcPr>
            <w:tcW w:type="dxa" w:w="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A1</w:t>
            </w:r>
          </w:p>
        </w:tc>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MULTI-CLIENT</w:t>
            </w:r>
          </w:p>
        </w:tc>
        <w:tc>
          <w:tcPr>
            <w:tcW w:type="dxa" w:w="3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Gestion N clients depuis un seul compte — isolation totale</w:t>
            </w:r>
          </w:p>
        </w:tc>
        <w:tc>
          <w:tcPr>
            <w:tcW w:type="dxa" w:w="13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P0</w:t>
            </w:r>
          </w:p>
        </w:tc>
        <w:tc>
          <w:tcPr>
            <w:tcW w:type="dxa" w:w="13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V1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MARQUE BLANCHE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Envois au nom du client — email dédié, interface brandée client</w:t>
            </w:r>
          </w:p>
        </w:tc>
        <w:tc>
          <w:tcPr>
            <w:tcW w:type="dxa" w:w="1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w:t>
            </w:r>
          </w:p>
        </w:tc>
        <w:tc>
          <w:tcPr>
            <w:tcW w:type="dxa" w:w="1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V1</w:t>
            </w:r>
          </w:p>
        </w:tc>
      </w:tr>
      <w:tr>
        <w:tc>
          <w:tcPr>
            <w:tcW w:type="dxa" w:w="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A3</w:t>
            </w:r>
          </w:p>
        </w:tc>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RAPPORT CLIENT</w:t>
            </w:r>
          </w:p>
        </w:tc>
        <w:tc>
          <w:tcPr>
            <w:tcW w:type="dxa" w:w="3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PDF mensuel auto aux couleurs client, envoi automatique</w:t>
            </w:r>
          </w:p>
        </w:tc>
        <w:tc>
          <w:tcPr>
            <w:tcW w:type="dxa" w:w="13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P0</w:t>
            </w:r>
          </w:p>
        </w:tc>
        <w:tc>
          <w:tcPr>
            <w:tcW w:type="dxa" w:w="13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V1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SOCIAL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OAuth Facebook/X/LinkedIn/Instagram/WhatsApp — publication simultanée</w:t>
            </w:r>
          </w:p>
        </w:tc>
        <w:tc>
          <w:tcPr>
            <w:tcW w:type="dxa" w:w="1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P1</w:t>
            </w:r>
          </w:p>
        </w:tc>
        <w:tc>
          <w:tcPr>
            <w:tcW w:type="dxa" w:w="1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V2</w:t>
            </w:r>
          </w:p>
        </w:tc>
      </w:tr>
      <w:tr>
        <w:tc>
          <w:tcPr>
            <w:tcW w:type="dxa" w:w="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A5</w:t>
            </w:r>
          </w:p>
        </w:tc>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AGENDA</w:t>
            </w:r>
          </w:p>
        </w:tc>
        <w:tc>
          <w:tcPr>
            <w:tcW w:type="dxa" w:w="3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Calendrier éditorial partagé, récurrence, partage client sans compte</w:t>
            </w:r>
          </w:p>
        </w:tc>
        <w:tc>
          <w:tcPr>
            <w:tcW w:type="dxa" w:w="13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P0</w:t>
            </w:r>
          </w:p>
        </w:tc>
        <w:tc>
          <w:tcPr>
            <w:tcW w:type="dxa" w:w="13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V1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STUDIO</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Templates visuels brandés auto par client — bibliothèque images libres</w:t>
            </w:r>
          </w:p>
        </w:tc>
        <w:tc>
          <w:tcPr>
            <w:tcW w:type="dxa" w:w="1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P1</w:t>
            </w:r>
          </w:p>
        </w:tc>
        <w:tc>
          <w:tcPr>
            <w:tcW w:type="dxa" w:w="1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V2</w:t>
            </w:r>
          </w:p>
        </w:tc>
      </w:tr>
      <w:tr>
        <w:tc>
          <w:tcPr>
            <w:tcW w:type="dxa" w:w="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A7</w:t>
            </w:r>
          </w:p>
        </w:tc>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INBOX</w:t>
            </w:r>
          </w:p>
        </w:tc>
        <w:tc>
          <w:tcPr>
            <w:tcW w:type="dxa" w:w="3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Centralisation réponses journalistes — détection intentions — assignation</w:t>
            </w:r>
          </w:p>
        </w:tc>
        <w:tc>
          <w:tcPr>
            <w:tcW w:type="dxa" w:w="13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P0</w:t>
            </w:r>
          </w:p>
        </w:tc>
        <w:tc>
          <w:tcPr>
            <w:tcW w:type="dxa" w:w="13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V1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CRM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Historique relation journaliste par client — score chaleur — import LinkedIn</w:t>
            </w:r>
          </w:p>
        </w:tc>
        <w:tc>
          <w:tcPr>
            <w:tcW w:type="dxa" w:w="1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w:t>
            </w:r>
          </w:p>
        </w:tc>
        <w:tc>
          <w:tcPr>
            <w:tcW w:type="dxa" w:w="1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V1</w:t>
            </w:r>
          </w:p>
        </w:tc>
      </w:tr>
      <w:tr>
        <w:tc>
          <w:tcPr>
            <w:tcW w:type="dxa" w:w="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A9</w:t>
            </w:r>
          </w:p>
        </w:tc>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MOBILE</w:t>
            </w:r>
          </w:p>
        </w:tc>
        <w:tc>
          <w:tcPr>
            <w:tcW w:type="dxa" w:w="3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App React Native iOS/Android — offline — biométrie — enregistrement vocal</w:t>
            </w:r>
          </w:p>
        </w:tc>
        <w:tc>
          <w:tcPr>
            <w:tcW w:type="dxa" w:w="13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P0</w:t>
            </w:r>
          </w:p>
        </w:tc>
        <w:tc>
          <w:tcPr>
            <w:tcW w:type="dxa" w:w="13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V1</w:t>
            </w:r>
          </w:p>
        </w:tc>
      </w:tr>
    </w:tbl>
    <w:p>
      <w:pPr>
        <w:spacing w:after="80" w:before="120"/>
      </w:pPr>
      <w:r>
        <w:t xml:space="preserve"/>
      </w:r>
    </w:p>
    <w:p>
      <w:pPr>
        <w:spacing w:after="140" w:before="320"/>
      </w:pPr>
      <w:r>
        <w:rPr>
          <w:rFonts w:ascii="Georgia" w:cs="Georgia" w:eastAsia="Georgia" w:hAnsi="Georgia"/>
          <w:b/>
          <w:bCs/>
          <w:color w:val="1A3A5C"/>
          <w:sz w:val="26"/>
          <w:szCs w:val="26"/>
        </w:rPr>
        <w:t xml:space="preserve">Modèle tarifaire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026"/>
      </w:tblGrid>
      <w:tr>
        <w:tc>
          <w:tcPr>
            <w:tcW w:type="dxa" w:w="2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Formule</w:t>
            </w:r>
          </w:p>
        </w:tc>
        <w:tc>
          <w:tcPr>
            <w:tcW w:type="dxa" w:w="2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Clients actifs</w:t>
            </w:r>
          </w:p>
        </w:tc>
        <w:tc>
          <w:tcPr>
            <w:tcW w:type="dxa" w:w="2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Prix/mois</w:t>
            </w:r>
          </w:p>
        </w:tc>
        <w:tc>
          <w:tcPr>
            <w:tcW w:type="dxa" w:w="3026"/>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Contenu</w:t>
            </w:r>
          </w:p>
        </w:tc>
      </w:tr>
      <w:tr>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SOLO</w:t>
            </w:r>
          </w:p>
        </w:tc>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1 à 3 clients</w:t>
            </w:r>
          </w:p>
        </w:tc>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150 000 FCFA</w:t>
            </w:r>
          </w:p>
        </w:tc>
        <w:tc>
          <w:tcPr>
            <w:tcW w:type="dxa" w:w="30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A1+A2+A3+A5+A7+A8 + App mobile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4 à 10 clients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280 000 FCFA</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SOLO + A4 SOCIAL + A6 STUDIO</w:t>
            </w:r>
          </w:p>
        </w:tc>
      </w:tr>
      <w:tr>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AGENCE</w:t>
            </w:r>
          </w:p>
        </w:tc>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11 à 25 clients</w:t>
            </w:r>
          </w:p>
        </w:tc>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420 000 FCFA</w:t>
            </w:r>
          </w:p>
        </w:tc>
        <w:tc>
          <w:tcPr>
            <w:tcW w:type="dxa" w:w="30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PRO + multi-utilisateurs + API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ENTERPRISE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25+ clients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Sur devis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Tout + SLA renforcé + déploiement dédié</w:t>
            </w:r>
          </w:p>
        </w:tc>
      </w:tr>
    </w:tbl>
    <w:p>
      <w:pPr>
        <w:spacing w:after="4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4ED8" w:sz="2"/>
              <w:left w:val="single" w:color="1D4ED8" w:sz="14"/>
              <w:bottom w:val="single" w:color="1D4ED8" w:sz="2"/>
              <w:right w:val="none" w:color="FFFFFF" w:sz="0"/>
            </w:tcBorders>
            <w:shd w:fill="FFF8EC" w:val="clear"/>
            <w:tcMar>
              <w:top w:type="dxa" w:w="160"/>
              <w:left w:type="dxa" w:w="240"/>
              <w:bottom w:type="dxa" w:w="160"/>
              <w:right w:type="dxa" w:w="240"/>
            </w:tcMar>
          </w:tcPr>
          <w:p>
            <w:pPr>
              <w:jc w:val="both"/>
            </w:pPr>
            <w:r>
              <w:rPr>
                <w:rFonts w:ascii="Calibri" w:cs="Calibri" w:eastAsia="Calibri" w:hAnsi="Calibri"/>
                <w:i/>
                <w:iCs/>
                <w:sz w:val="22"/>
                <w:szCs w:val="22"/>
              </w:rPr>
              <w:t xml:space="preserve">Effet réseau stratégique : chaque attaché de presse converti à HERALDO AGENCE travaille pour des institutions. En utilisant HERALDO pour gérer ses clients institutionnels, il les expose naturellement au produit et accélère l'adoption institutionnelle. M10 est le canal d'acquisition le plus puissant pour M1 à M9.</w:t>
            </w:r>
          </w:p>
        </w:tc>
      </w:tr>
    </w:tbl>
    <w:p>
      <w:pPr>
        <w:spacing w:after="80" w:before="120"/>
      </w:pPr>
      <w:r>
        <w:t xml:space="preserve"/>
      </w:r>
    </w:p>
    <w:p>
      <w:r>
        <w:br w:type="page"/>
      </w:r>
    </w:p>
    <w:p>
      <w:pPr>
        <w:pBdr>
          <w:bottom w:val="single" w:color="C8962E" w:sz="8" w:space="6"/>
        </w:pBdr>
        <w:spacing w:after="200" w:before="480"/>
      </w:pPr>
      <w:r>
        <w:rPr>
          <w:rFonts w:ascii="Georgia" w:cs="Georgia" w:eastAsia="Georgia" w:hAnsi="Georgia"/>
          <w:b/>
          <w:bCs/>
          <w:color w:val="0A1628"/>
          <w:sz w:val="32"/>
          <w:szCs w:val="32"/>
        </w:rPr>
        <w:t xml:space="preserve">Budget consolidé — 10 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800"/>
        <w:gridCol w:w="1613"/>
        <w:gridCol w:w="1613"/>
        <w:gridCol w:w="800"/>
      </w:tblGrid>
      <w:tr>
        <w:tc>
          <w:tcPr>
            <w:tcW w:type="dxa" w:w="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Module</w:t>
            </w:r>
          </w:p>
        </w:tc>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Cible</w:t>
            </w:r>
          </w:p>
        </w:tc>
        <w:tc>
          <w:tcPr>
            <w:tcW w:type="dxa" w:w="1613"/>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Min FCFA</w:t>
            </w:r>
          </w:p>
        </w:tc>
        <w:tc>
          <w:tcPr>
            <w:tcW w:type="dxa" w:w="1613"/>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Max FCFA</w:t>
            </w:r>
          </w:p>
        </w:tc>
        <w:tc>
          <w:tcPr>
            <w:tcW w:type="dxa" w:w="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Version</w:t>
            </w:r>
          </w:p>
        </w:tc>
      </w:tr>
      <w:tr>
        <w:tc>
          <w:tcPr>
            <w:tcW w:type="dxa" w:w="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M1</w:t>
            </w:r>
          </w:p>
        </w:tc>
        <w:tc>
          <w:tcPr>
            <w:tcW w:type="dxa" w:w="2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PRESS</w:t>
            </w:r>
          </w:p>
        </w:tc>
        <w:tc>
          <w:tcPr>
            <w:tcW w:type="dxa" w:w="1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Institution</w:t>
            </w:r>
          </w:p>
        </w:tc>
        <w:tc>
          <w:tcPr>
            <w:tcW w:type="dxa" w:w="16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8 000 000</w:t>
            </w:r>
          </w:p>
        </w:tc>
        <w:tc>
          <w:tcPr>
            <w:tcW w:type="dxa" w:w="16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12 000 000</w:t>
            </w:r>
          </w:p>
        </w:tc>
        <w:tc>
          <w:tcPr>
            <w:tcW w:type="dxa" w:w="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V1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RÉSEAU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Institution</w:t>
            </w:r>
          </w:p>
        </w:tc>
        <w:tc>
          <w:tcPr>
            <w:tcW w:type="dxa" w:w="1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3 000 000</w:t>
            </w:r>
          </w:p>
        </w:tc>
        <w:tc>
          <w:tcPr>
            <w:tcW w:type="dxa" w:w="1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5 000 000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V1</w:t>
            </w:r>
          </w:p>
        </w:tc>
      </w:tr>
      <w:tr>
        <w:tc>
          <w:tcPr>
            <w:tcW w:type="dxa" w:w="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M3</w:t>
            </w:r>
          </w:p>
        </w:tc>
        <w:tc>
          <w:tcPr>
            <w:tcW w:type="dxa" w:w="2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INTERNE</w:t>
            </w:r>
          </w:p>
        </w:tc>
        <w:tc>
          <w:tcPr>
            <w:tcW w:type="dxa" w:w="1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Institution</w:t>
            </w:r>
          </w:p>
        </w:tc>
        <w:tc>
          <w:tcPr>
            <w:tcW w:type="dxa" w:w="16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4 000 000</w:t>
            </w:r>
          </w:p>
        </w:tc>
        <w:tc>
          <w:tcPr>
            <w:tcW w:type="dxa" w:w="16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6 000 000</w:t>
            </w:r>
          </w:p>
        </w:tc>
        <w:tc>
          <w:tcPr>
            <w:tcW w:type="dxa" w:w="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V1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Institution</w:t>
            </w:r>
          </w:p>
        </w:tc>
        <w:tc>
          <w:tcPr>
            <w:tcW w:type="dxa" w:w="1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6 000 000</w:t>
            </w:r>
          </w:p>
        </w:tc>
        <w:tc>
          <w:tcPr>
            <w:tcW w:type="dxa" w:w="1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8 000 000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V1</w:t>
            </w:r>
          </w:p>
        </w:tc>
      </w:tr>
      <w:tr>
        <w:tc>
          <w:tcPr>
            <w:tcW w:type="dxa" w:w="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M5</w:t>
            </w:r>
          </w:p>
        </w:tc>
        <w:tc>
          <w:tcPr>
            <w:tcW w:type="dxa" w:w="2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VEILLE</w:t>
            </w:r>
          </w:p>
        </w:tc>
        <w:tc>
          <w:tcPr>
            <w:tcW w:type="dxa" w:w="1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Institution</w:t>
            </w:r>
          </w:p>
        </w:tc>
        <w:tc>
          <w:tcPr>
            <w:tcW w:type="dxa" w:w="16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8 000 000</w:t>
            </w:r>
          </w:p>
        </w:tc>
        <w:tc>
          <w:tcPr>
            <w:tcW w:type="dxa" w:w="16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12 000 000</w:t>
            </w:r>
          </w:p>
        </w:tc>
        <w:tc>
          <w:tcPr>
            <w:tcW w:type="dxa" w:w="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V1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ANALYTICS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Institution</w:t>
            </w:r>
          </w:p>
        </w:tc>
        <w:tc>
          <w:tcPr>
            <w:tcW w:type="dxa" w:w="1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5 000 000</w:t>
            </w:r>
          </w:p>
        </w:tc>
        <w:tc>
          <w:tcPr>
            <w:tcW w:type="dxa" w:w="1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7 000 000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V1</w:t>
            </w:r>
          </w:p>
        </w:tc>
      </w:tr>
      <w:tr>
        <w:tc>
          <w:tcPr>
            <w:tcW w:type="dxa" w:w="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M7</w:t>
            </w:r>
          </w:p>
        </w:tc>
        <w:tc>
          <w:tcPr>
            <w:tcW w:type="dxa" w:w="2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CITIZEN</w:t>
            </w:r>
          </w:p>
        </w:tc>
        <w:tc>
          <w:tcPr>
            <w:tcW w:type="dxa" w:w="1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Institution</w:t>
            </w:r>
          </w:p>
        </w:tc>
        <w:tc>
          <w:tcPr>
            <w:tcW w:type="dxa" w:w="16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7 000 000</w:t>
            </w:r>
          </w:p>
        </w:tc>
        <w:tc>
          <w:tcPr>
            <w:tcW w:type="dxa" w:w="16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10 000 000</w:t>
            </w:r>
          </w:p>
        </w:tc>
        <w:tc>
          <w:tcPr>
            <w:tcW w:type="dxa" w:w="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V2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ARCHIVE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Institution</w:t>
            </w:r>
          </w:p>
        </w:tc>
        <w:tc>
          <w:tcPr>
            <w:tcW w:type="dxa" w:w="1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4 000 000</w:t>
            </w:r>
          </w:p>
        </w:tc>
        <w:tc>
          <w:tcPr>
            <w:tcW w:type="dxa" w:w="1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6 000 000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V2</w:t>
            </w:r>
          </w:p>
        </w:tc>
      </w:tr>
      <w:tr>
        <w:tc>
          <w:tcPr>
            <w:tcW w:type="dxa" w:w="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M9</w:t>
            </w:r>
          </w:p>
        </w:tc>
        <w:tc>
          <w:tcPr>
            <w:tcW w:type="dxa" w:w="2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ACCREDIT</w:t>
            </w:r>
          </w:p>
        </w:tc>
        <w:tc>
          <w:tcPr>
            <w:tcW w:type="dxa" w:w="1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Institution</w:t>
            </w:r>
          </w:p>
        </w:tc>
        <w:tc>
          <w:tcPr>
            <w:tcW w:type="dxa" w:w="16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5 000 000</w:t>
            </w:r>
          </w:p>
        </w:tc>
        <w:tc>
          <w:tcPr>
            <w:tcW w:type="dxa" w:w="16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7 000 000</w:t>
            </w:r>
          </w:p>
        </w:tc>
        <w:tc>
          <w:tcPr>
            <w:tcW w:type="dxa" w:w="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V2</w:t>
            </w:r>
          </w:p>
        </w:tc>
      </w:tr>
      <w:tr>
        <w:tc>
          <w:tcPr>
            <w:tcW w:type="dxa" w:w="600"/>
            <w:tcBorders>
              <w:top w:val="single" w:color="CCCCCC" w:sz="1"/>
              <w:left w:val="single" w:color="CCCCCC" w:sz="1"/>
              <w:bottom w:val="single" w:color="CCCCCC" w:sz="1"/>
              <w:right w:val="single" w:color="CCCCCC" w:sz="1"/>
            </w:tcBorders>
            <w:shd w:fill="1D4ED8" w:val="clear"/>
            <w:tcMar>
              <w:top w:type="dxa" w:w="80"/>
              <w:left w:type="dxa" w:w="80"/>
              <w:bottom w:type="dxa" w:w="80"/>
              <w:right w:type="dxa" w:w="80"/>
            </w:tcMar>
          </w:tcPr>
          <w:p>
            <w:pPr>
              <w:jc w:val="center"/>
            </w:pPr>
            <w:r>
              <w:rPr>
                <w:rFonts w:ascii="Calibri" w:cs="Calibri" w:eastAsia="Calibri" w:hAnsi="Calibri"/>
                <w:b/>
                <w:bCs/>
                <w:color w:val="FFFFFF"/>
                <w:sz w:val="19"/>
                <w:szCs w:val="19"/>
              </w:rPr>
              <w:t xml:space="preserve">M10</w:t>
            </w:r>
          </w:p>
        </w:tc>
        <w:tc>
          <w:tcPr>
            <w:tcW w:type="dxa" w:w="2600"/>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r>
              <w:rPr>
                <w:rFonts w:ascii="Calibri" w:cs="Calibri" w:eastAsia="Calibri" w:hAnsi="Calibri"/>
                <w:b/>
                <w:bCs/>
                <w:color w:val="FFFFFF"/>
                <w:sz w:val="19"/>
                <w:szCs w:val="19"/>
              </w:rPr>
              <w:t xml:space="preserve">AGENCE</w:t>
            </w:r>
          </w:p>
        </w:tc>
        <w:tc>
          <w:tcPr>
            <w:tcW w:type="dxa" w:w="1800"/>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r>
              <w:rPr>
                <w:rFonts w:ascii="Calibri" w:cs="Calibri" w:eastAsia="Calibri" w:hAnsi="Calibri"/>
                <w:b/>
                <w:bCs/>
                <w:color w:val="FFFFFF"/>
                <w:sz w:val="19"/>
                <w:szCs w:val="19"/>
              </w:rPr>
              <w:t xml:space="preserve">Agences RP</w:t>
            </w:r>
          </w:p>
        </w:tc>
        <w:tc>
          <w:tcPr>
            <w:tcW w:type="dxa" w:w="1613"/>
            <w:tcBorders>
              <w:top w:val="single" w:color="CCCCCC" w:sz="1"/>
              <w:left w:val="single" w:color="CCCCCC" w:sz="1"/>
              <w:bottom w:val="single" w:color="CCCCCC" w:sz="1"/>
              <w:right w:val="single" w:color="CCCCCC" w:sz="1"/>
            </w:tcBorders>
            <w:shd w:fill="1D4ED8" w:val="clear"/>
            <w:tcMar>
              <w:top w:type="dxa" w:w="80"/>
              <w:left w:type="dxa" w:w="80"/>
              <w:bottom w:type="dxa" w:w="80"/>
              <w:right w:type="dxa" w:w="80"/>
            </w:tcMar>
          </w:tcPr>
          <w:p>
            <w:pPr>
              <w:jc w:val="center"/>
            </w:pPr>
            <w:r>
              <w:rPr>
                <w:rFonts w:ascii="Calibri" w:cs="Calibri" w:eastAsia="Calibri" w:hAnsi="Calibri"/>
                <w:b/>
                <w:bCs/>
                <w:color w:val="C8962E"/>
                <w:sz w:val="19"/>
                <w:szCs w:val="19"/>
              </w:rPr>
              <w:t xml:space="preserve">31 000 000</w:t>
            </w:r>
          </w:p>
        </w:tc>
        <w:tc>
          <w:tcPr>
            <w:tcW w:type="dxa" w:w="1613"/>
            <w:tcBorders>
              <w:top w:val="single" w:color="CCCCCC" w:sz="1"/>
              <w:left w:val="single" w:color="CCCCCC" w:sz="1"/>
              <w:bottom w:val="single" w:color="CCCCCC" w:sz="1"/>
              <w:right w:val="single" w:color="CCCCCC" w:sz="1"/>
            </w:tcBorders>
            <w:shd w:fill="1D4ED8" w:val="clear"/>
            <w:tcMar>
              <w:top w:type="dxa" w:w="80"/>
              <w:left w:type="dxa" w:w="80"/>
              <w:bottom w:type="dxa" w:w="80"/>
              <w:right w:type="dxa" w:w="80"/>
            </w:tcMar>
          </w:tcPr>
          <w:p>
            <w:pPr>
              <w:jc w:val="center"/>
            </w:pPr>
            <w:r>
              <w:rPr>
                <w:rFonts w:ascii="Calibri" w:cs="Calibri" w:eastAsia="Calibri" w:hAnsi="Calibri"/>
                <w:b/>
                <w:bCs/>
                <w:color w:val="C8962E"/>
                <w:sz w:val="19"/>
                <w:szCs w:val="19"/>
              </w:rPr>
              <w:t xml:space="preserve">46 000 000</w:t>
            </w:r>
          </w:p>
        </w:tc>
        <w:tc>
          <w:tcPr>
            <w:tcW w:type="dxa" w:w="800"/>
            <w:tcBorders>
              <w:top w:val="single" w:color="CCCCCC" w:sz="1"/>
              <w:left w:val="single" w:color="CCCCCC" w:sz="1"/>
              <w:bottom w:val="single" w:color="CCCCCC" w:sz="1"/>
              <w:right w:val="single" w:color="CCCCCC" w:sz="1"/>
            </w:tcBorders>
            <w:shd w:fill="1D4ED8" w:val="clear"/>
            <w:tcMar>
              <w:top w:type="dxa" w:w="80"/>
              <w:left w:type="dxa" w:w="80"/>
              <w:bottom w:type="dxa" w:w="80"/>
              <w:right w:type="dxa" w:w="80"/>
            </w:tcMar>
          </w:tcPr>
          <w:p>
            <w:pPr>
              <w:jc w:val="center"/>
            </w:pPr>
            <w:r>
              <w:rPr>
                <w:rFonts w:ascii="Calibri" w:cs="Calibri" w:eastAsia="Calibri" w:hAnsi="Calibri"/>
                <w:b/>
                <w:bCs/>
                <w:color w:val="FFFFFF"/>
                <w:sz w:val="19"/>
                <w:szCs w:val="19"/>
              </w:rPr>
              <w:t xml:space="preserve">V1</w:t>
            </w:r>
          </w:p>
        </w:tc>
      </w:tr>
      <w:tr>
        <w:tc>
          <w:tcPr>
            <w:tcW w:type="dxa" w:w="5000"/>
            <w:gridSpan w:val="3"/>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TOTAL GÉNÉRAL — 10 modules</w:t>
            </w:r>
          </w:p>
        </w:tc>
        <w:tc>
          <w:tcPr>
            <w:tcW w:type="dxa" w:w="1613"/>
            <w:tcBorders>
              <w:top w:val="single" w:color="CCCCCC" w:sz="1"/>
              <w:left w:val="single" w:color="CCCCCC" w:sz="1"/>
              <w:bottom w:val="single" w:color="CCCCCC" w:sz="1"/>
              <w:right w:val="single" w:color="CCCCCC" w:sz="1"/>
            </w:tcBorders>
            <w:shd w:fill="0A1628" w:val="clear"/>
            <w:tcMar>
              <w:top w:type="dxa" w:w="80"/>
              <w:left w:type="dxa" w:w="80"/>
              <w:bottom w:type="dxa" w:w="80"/>
              <w:right w:type="dxa" w:w="80"/>
            </w:tcMar>
          </w:tcPr>
          <w:p>
            <w:pPr>
              <w:jc w:val="center"/>
            </w:pPr>
            <w:r>
              <w:rPr>
                <w:rFonts w:ascii="Calibri" w:cs="Calibri" w:eastAsia="Calibri" w:hAnsi="Calibri"/>
                <w:b/>
                <w:bCs/>
                <w:color w:val="C8962E"/>
                <w:sz w:val="20"/>
                <w:szCs w:val="20"/>
              </w:rPr>
              <w:t xml:space="preserve">81 000 000</w:t>
            </w:r>
          </w:p>
        </w:tc>
        <w:tc>
          <w:tcPr>
            <w:tcW w:type="dxa" w:w="1613"/>
            <w:tcBorders>
              <w:top w:val="single" w:color="CCCCCC" w:sz="1"/>
              <w:left w:val="single" w:color="CCCCCC" w:sz="1"/>
              <w:bottom w:val="single" w:color="CCCCCC" w:sz="1"/>
              <w:right w:val="single" w:color="CCCCCC" w:sz="1"/>
            </w:tcBorders>
            <w:shd w:fill="0A1628" w:val="clear"/>
            <w:tcMar>
              <w:top w:type="dxa" w:w="80"/>
              <w:left w:type="dxa" w:w="80"/>
              <w:bottom w:type="dxa" w:w="80"/>
              <w:right w:type="dxa" w:w="80"/>
            </w:tcMar>
          </w:tcPr>
          <w:p>
            <w:pPr>
              <w:jc w:val="center"/>
            </w:pPr>
            <w:r>
              <w:rPr>
                <w:rFonts w:ascii="Calibri" w:cs="Calibri" w:eastAsia="Calibri" w:hAnsi="Calibri"/>
                <w:b/>
                <w:bCs/>
                <w:color w:val="C8962E"/>
                <w:sz w:val="20"/>
                <w:szCs w:val="20"/>
              </w:rPr>
              <w:t xml:space="preserve">119 000 000</w:t>
            </w:r>
          </w:p>
        </w:tc>
        <w:tc>
          <w:tcPr>
            <w:tcW w:type="dxa" w:w="800"/>
            <w:tcBorders>
              <w:top w:val="single" w:color="CCCCCC" w:sz="1"/>
              <w:left w:val="single" w:color="CCCCCC" w:sz="1"/>
              <w:bottom w:val="single" w:color="CCCCCC" w:sz="1"/>
              <w:right w:val="single" w:color="CCCCCC" w:sz="1"/>
            </w:tcBorders>
            <w:shd w:fill="0A1628" w:val="clear"/>
            <w:tcMar>
              <w:top w:type="dxa" w:w="80"/>
              <w:left w:type="dxa" w:w="80"/>
              <w:bottom w:type="dxa" w:w="80"/>
              <w:right w:type="dxa" w:w="80"/>
            </w:tcMar>
          </w:tcPr>
          <w:p>
            <w:pPr>
              <w:jc w:val="center"/>
            </w:pPr>
            <w:r>
              <w:rPr>
                <w:rFonts w:ascii="Calibri" w:cs="Calibri" w:eastAsia="Calibri" w:hAnsi="Calibri"/>
                <w:b/>
                <w:bCs/>
                <w:color w:val="FFFFFF"/>
                <w:sz w:val="19"/>
                <w:szCs w:val="19"/>
              </w:rPr>
              <w:t xml:space="preserve">—</w:t>
            </w:r>
          </w:p>
        </w:tc>
      </w:tr>
    </w:tbl>
    <w:p>
      <w:pPr>
        <w:spacing w:after="4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962E" w:sz="2"/>
              <w:left w:val="single" w:color="C8962E" w:sz="14"/>
              <w:bottom w:val="single" w:color="C8962E" w:sz="2"/>
              <w:right w:val="none" w:color="FFFFFF" w:sz="0"/>
            </w:tcBorders>
            <w:shd w:fill="FFF8EC" w:val="clear"/>
            <w:tcMar>
              <w:top w:type="dxa" w:w="160"/>
              <w:left w:type="dxa" w:w="240"/>
              <w:bottom w:type="dxa" w:w="160"/>
              <w:right w:type="dxa" w:w="240"/>
            </w:tcMar>
          </w:tcPr>
          <w:p>
            <w:pPr>
              <w:jc w:val="both"/>
            </w:pPr>
            <w:r>
              <w:rPr>
                <w:rFonts w:ascii="Calibri" w:cs="Calibri" w:eastAsia="Calibri" w:hAnsi="Calibri"/>
                <w:i/>
                <w:iCs/>
                <w:sz w:val="22"/>
                <w:szCs w:val="22"/>
              </w:rPr>
              <w:t xml:space="preserve">V1 (M1-M6 + M10 AGENCE) : 65 à 90 millions FCFA. V2 (M7-M9) : 16 à 23 millions FCFA sur les premiers revenus. ROI : 3 contrats institutionnels annuels à 18M FCFA + 50 agences PRO à 280K/mois = 54M FCFA/an de revenus récurrents. ROI total atteint en 18 mois.</w:t>
            </w:r>
          </w:p>
        </w:tc>
      </w:tr>
    </w:tbl>
    <w:p>
      <w:pPr>
        <w:spacing w:after="80" w:before="120"/>
      </w:pPr>
      <w:r>
        <w:t xml:space="preserve"/>
      </w:r>
    </w:p>
    <w:p>
      <w:pPr>
        <w:pBdr>
          <w:bottom w:val="single" w:color="C8962E" w:sz="8" w:space="6"/>
        </w:pBdr>
        <w:spacing w:after="200" w:before="480"/>
      </w:pPr>
      <w:r>
        <w:rPr>
          <w:rFonts w:ascii="Georgia" w:cs="Georgia" w:eastAsia="Georgia" w:hAnsi="Georgia"/>
          <w:b/>
          <w:bCs/>
          <w:color w:val="0A1628"/>
          <w:sz w:val="32"/>
          <w:szCs w:val="32"/>
        </w:rPr>
        <w:t xml:space="preserve">Roadmap — 5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000"/>
        <w:gridCol w:w="2626"/>
      </w:tblGrid>
      <w:tr>
        <w:tc>
          <w:tcPr>
            <w:tcW w:type="dxa" w:w="14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Durée</w:t>
            </w:r>
          </w:p>
        </w:tc>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Modules</w:t>
            </w:r>
          </w:p>
        </w:tc>
        <w:tc>
          <w:tcPr>
            <w:tcW w:type="dxa" w:w="2626"/>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Jalon</w:t>
            </w:r>
          </w:p>
        </w:tc>
      </w:tr>
      <w:tr>
        <w:tc>
          <w:tcPr>
            <w:tcW w:type="dxa" w:w="1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Phase 0</w:t>
            </w:r>
          </w:p>
        </w:tc>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S1-S4</w:t>
            </w:r>
          </w:p>
        </w:tc>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Architecture, infrastructure, CI/CD</w:t>
            </w:r>
          </w:p>
        </w:tc>
        <w:tc>
          <w:tcPr>
            <w:tcW w:type="dxa" w:w="26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Environnement de dev opérationnel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Phase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S5-S12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M1 PRESS + M2 RÉSEAU + M10 AGENCE core (A1-A3-A5-A7-A8)</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MVP + premier client pilote institutionnel + 5 agences bêta</w:t>
            </w:r>
          </w:p>
        </w:tc>
      </w:tr>
      <w:tr>
        <w:tc>
          <w:tcPr>
            <w:tcW w:type="dxa" w:w="1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Phase 2</w:t>
            </w:r>
          </w:p>
        </w:tc>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S13-S20</w:t>
            </w:r>
          </w:p>
        </w:tc>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M3 INTERNE + M6 ANALYTICS + M10 A9 MOBILE</w:t>
            </w:r>
          </w:p>
        </w:tc>
        <w:tc>
          <w:tcPr>
            <w:tcW w:type="dxa" w:w="26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V1 complète — lancement commercial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Phase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S21-S28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M4 LIVE + M5 VEILLE + M10 A4 SOCIAL + A6 STUDIO</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Écosystème V1 complet — croissance</w:t>
            </w:r>
          </w:p>
        </w:tc>
      </w:tr>
      <w:tr>
        <w:tc>
          <w:tcPr>
            <w:tcW w:type="dxa" w:w="1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Phase 4</w:t>
            </w:r>
          </w:p>
        </w:tc>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S29-S40</w:t>
            </w:r>
          </w:p>
        </w:tc>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M7 CITIZEN + M8 ARCHIVE + M9 ACCREDIT</w:t>
            </w:r>
          </w:p>
        </w:tc>
        <w:tc>
          <w:tcPr>
            <w:tcW w:type="dxa" w:w="26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V2 — présence UEMOA — levée de fonds</w:t>
            </w:r>
          </w:p>
        </w:tc>
      </w:tr>
    </w:tbl>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62E" w:sz="4" w:space="4"/>
      </w:pBdr>
      <w:jc w:val="center"/>
    </w:pPr>
    <w:r>
      <w:rPr>
        <w:rFonts w:ascii="Calibri" w:cs="Calibri" w:eastAsia="Calibri" w:hAnsi="Calibri"/>
        <w:color w:val="999999"/>
        <w:sz w:val="18"/>
        <w:szCs w:val="18"/>
      </w:rPr>
      <w:t xml:space="preserve">AUXX — HERALDO — CDC V3.0 — Avril 2026   |   Page </w:t>
    </w:r>
    <w:r>
      <w:rPr>
        <w:rFonts w:ascii="Calibri" w:cs="Calibri" w:eastAsia="Calibri" w:hAnsi="Calibri"/>
        <w:color w:val="999999"/>
        <w:sz w:val="18"/>
        <w:szCs w:val="18"/>
      </w:rPr>
      <w:fldChar w:fldCharType="begin"/>
      <w:instrText xml:space="preserve">PAGE</w:instrText>
      <w:fldChar w:fldCharType="separate"/>
      <w:fldChar w:fldCharType="end"/>
    </w:r>
    <w:r>
      <w:rPr>
        <w:rFonts w:ascii="Calibri" w:cs="Calibri" w:eastAsia="Calibri" w:hAnsi="Calibri"/>
        <w:color w:val="999999"/>
        <w:sz w:val="18"/>
        <w:szCs w:val="18"/>
      </w:rPr>
      <w:t xml:space="preserve"> / </w:t>
    </w:r>
    <w:r>
      <w:rPr>
        <w:rFonts w:ascii="Calibri" w:cs="Calibri" w:eastAsia="Calibri" w:hAnsi="Calibri"/>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62E" w:sz="4" w:space="4"/>
      </w:pBdr>
      <w:jc w:val="center"/>
    </w:pPr>
    <w:r>
      <w:rPr>
        <w:rFonts w:ascii="Calibri" w:cs="Calibri" w:eastAsia="Calibri" w:hAnsi="Calibri"/>
        <w:color w:val="999999"/>
        <w:sz w:val="18"/>
        <w:szCs w:val="18"/>
      </w:rPr>
      <w:t xml:space="preserve">HERALDO — CDC Fonctionnel Complet V3 — 10 Modules — HP-CDC-V3-2026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C8962E"/>
      </w:rPr>
    </w:lvl>
    <w:lvl w:ilvl="1" w15:tentative="1">
      <w:start w:val="1"/>
      <w:numFmt w:val="bullet"/>
      <w:lvlText w:val="–"/>
      <w:lvlJc w:val="left"/>
      <w:pPr>
        <w:ind w:left="1080" w:hanging="360"/>
      </w:pPr>
      <w:rPr>
        <w:color w:val="64748B"/>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Georgia" w:cs="Georgia" w:eastAsia="Georgia" w:hAnsi="Georgia"/>
      <w:b/>
      <w:bCs/>
      <w:sz w:val="32"/>
      <w:szCs w:val="32"/>
    </w:rPr>
  </w:style>
  <w:style w:type="paragraph" w:styleId="Heading2">
    <w:name w:val="Heading 2"/>
    <w:basedOn w:val="Normal"/>
    <w:next w:val="Normal"/>
    <w:qFormat/>
    <w:pPr>
      <w:spacing w:after="140" w:before="320"/>
      <w:outlineLvl w:val="1"/>
    </w:pPr>
    <w:rPr>
      <w:rFonts w:ascii="Georgia" w:cs="Georgia" w:eastAsia="Georgia" w:hAnsi="Georgia"/>
      <w:b/>
      <w:bCs/>
      <w:sz w:val="26"/>
      <w:szCs w:val="26"/>
    </w:rPr>
  </w:style>
  <w:style w:type="paragraph" w:styleId="Heading3">
    <w:name w:val="Heading 3"/>
    <w:basedOn w:val="Normal"/>
    <w:next w:val="Normal"/>
    <w:qFormat/>
    <w:pPr>
      <w:spacing w:after="100" w:before="200"/>
      <w:outlineLvl w:val="2"/>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2026-04-18T02:04:17.473Z</dcterms:created>
  <dcterms:modified xsi:type="dcterms:W3CDTF">2026-04-18T02:04:17.474Z</dcterms:modified>
</cp:coreProperties>
</file>

<file path=docProps/custom.xml><?xml version="1.0" encoding="utf-8"?>
<Properties xmlns="http://schemas.openxmlformats.org/officeDocument/2006/custom-properties" xmlns:vt="http://schemas.openxmlformats.org/officeDocument/2006/docPropsVTypes"/>
</file>