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rFonts w:ascii="Georgia" w:cs="Georgia" w:eastAsia="Georgia" w:hAnsi="Georgia"/>
          <w:b/>
          <w:bCs/>
          <w:color w:val="0A1628"/>
          <w:sz w:val="60"/>
          <w:szCs w:val="60"/>
        </w:rPr>
        <w:t xml:space="preserve">HERALDO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C8962E"/>
          <w:sz w:val="28"/>
          <w:szCs w:val="28"/>
        </w:rPr>
        <w:t xml:space="preserve">Cahier des Spécifications Techniques — Version 2.0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Architecture · Stack · APIs · Sécurité · Infrastructure · M10 AGENCE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HP-CST-V2-2026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2.0 — Intégration M10 AGENCE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Supersède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HP-CST-V1-2026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Équipe technique AUXX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Avril 2026</w:t>
            </w:r>
          </w:p>
        </w:tc>
      </w:tr>
    </w:tbl>
    <w:p>
      <w:pPr>
        <w:spacing w:after="200" w:before="300"/>
      </w:pPr>
      <w:r>
        <w:t xml:space="preserve"/>
      </w:r>
    </w:p>
    <w:p>
      <w:r>
        <w:br w:type="page"/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bottom w:val="single" w:color="C8962E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0A1628"/>
          <w:sz w:val="32"/>
          <w:szCs w:val="32"/>
        </w:rPr>
        <w:t xml:space="preserve">1. Architecture générale</w:t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1.1 Stack technique global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Interface — SSR + SPA hybride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Nginx + Express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Routage, rate limiting,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NestJS + TypeScript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Services métier modulaires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Schema-per-tenant + sous-tenants AGENCE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7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Sessions, cache, queues Bull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Stockage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MinIO S3-compatible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Fichiers, archives, PDFs rapports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Elasticsearch 8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Full-text ARCHIVE + VEILLE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Streaming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MediaSoup WebRTC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M10 A9 — iOS + Android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Puppeteer headless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Rapports clients M10 A3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Transcription LIVE + analyse VEILLE + briefs AGENCE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1.2 Architecture multi-tenant étendue pour M10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4ED8" w:sz="2"/>
              <w:left w:val="single" w:color="1D4ED8" w:sz="14"/>
              <w:bottom w:val="single" w:color="1D4ED8" w:sz="2"/>
              <w:right w:val="none" w:color="FFFFFF" w:sz="0"/>
            </w:tcBorders>
            <w:shd w:fill="EE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M1-M9 : architecture schema-per-tenant standard. Un ministère = un tenant = un schéma PostgreSQL. M10 AGENCE : architecture sous-tenant imbriquée. Une agence = un tenant HERALDO standard + N sous-tenants clients. Chaque client est isolé dans un schéma prefixé agency_{id}_client_{id}. L'isolation est garantie au niveau base de données — aucune requête inter-clients sans privilège explicite.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1.3 RBAC complet — tous 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Modules accessibles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Restrictions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Tous — administration globale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Instance AUXX uniquement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ADMIN_INSTITUTION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Tous les modules souscrits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 propre institution uniquement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DIRECTEUR_COM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M1+M2+M4+M5+M6+M9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 accès INTERNE M3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CHARGE_COM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M1+M2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Envoi et annuaire uniquement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SECRETAIRE_GENERAL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M3+M6 (lecture)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 envoi direct — validation uniquement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AGENCY_ADMIN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M10 complet — tous clients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 propre agence uniquement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AGENCY_OPERATOR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M10 clients assignés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 facturation ni création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CLIENT_REVIEWER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Interface validation marque blanche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 accès backoffice HERALDO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LECTEUR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M8 ARCHIVE (lecture)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Consultation uniquement</w:t>
            </w:r>
          </w:p>
        </w:tc>
      </w:tr>
    </w:tbl>
    <w:p>
      <w:pPr>
        <w:spacing w:after="80" w:before="120"/>
      </w:pPr>
      <w:r>
        <w:t xml:space="preserve"/>
      </w:r>
    </w:p>
    <w:p>
      <w:r>
        <w:br w:type="page"/>
      </w:r>
    </w:p>
    <w:p>
      <w:pPr>
        <w:pBdr>
          <w:bottom w:val="single" w:color="C8962E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0A1628"/>
          <w:sz w:val="32"/>
          <w:szCs w:val="32"/>
        </w:rPr>
        <w:t xml:space="preserve">2. Modèle de données complet</w:t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2.1 Entités M1-M9 (institutions)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5C63"/>
          <w:sz w:val="23"/>
          <w:szCs w:val="23"/>
        </w:rPr>
        <w:t xml:space="preserve">Entités 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Institution : id, name, slug, plan, settings, created_at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User : id, institution_id, email, role, 2fa_enabled, last_login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Journalist : id, institution_id, full_name, email, phone, media_id, specialties[],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Media : id, name, type, audience_size, region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Communique : id, institution_id, title, content, status, scheduled_at, sent_at, author_id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Send : id, communique_id, journalist_id, sent_at, opened_at, read_duration</w:t>
      </w:r>
    </w:p>
    <w:p>
      <w:pPr>
        <w:spacing w:after="4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5C63"/>
          <w:sz w:val="23"/>
          <w:szCs w:val="23"/>
        </w:rPr>
        <w:t xml:space="preserve">Entités modules étendus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LiveSession : id, institution_id, title, status, started_at, ended_at, recording_url, transcript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VeilleKeyword : id, institution_id, keyword, weight, alert_threshold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Mention : id, institution_id, source, url, content, sentiment, score, detected_at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CitizenSubscriber : id, institution_id, phone, location, consent_date,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Archive : id, institution_id, document_id, hash, certified_at, public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Accreditation : id, journalist_id, institution_id, type, valid_from, valid_until, qr_code</w:t>
      </w:r>
    </w:p>
    <w:p>
      <w:pPr>
        <w:spacing w:after="80" w:before="120"/>
      </w:pPr>
      <w:r>
        <w:t xml:space="preserv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2.2 Entités M10 AGENCE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5C63"/>
          <w:sz w:val="23"/>
          <w:szCs w:val="23"/>
        </w:rPr>
        <w:t xml:space="preserve">Agency (tenant agence)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id UUID, name, slug, plan ENUM(SOLO|PRO|AGENCY|ENTERPRISE), max_clients INTEGER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white_label_name, white_label_email, white_label_logo_url NULLABLE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created_at, updated_at</w:t>
      </w:r>
    </w:p>
    <w:p>
      <w:pPr>
        <w:spacing w:after="4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5C63"/>
          <w:sz w:val="23"/>
          <w:szCs w:val="23"/>
        </w:rPr>
        <w:t xml:space="preserve">AgencyClient (sous-tenant)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id UUID, agency_id FK, name, logo_url, primary_color, secondary_color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sector ENUM, brief TEXT, editorial_tone ENUM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contact_name, contact_email — interlocuteur côté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reviewer_token STRING UNIQUE — accès interface validation sans compte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monthly_budget INTEGER NULLABLE, hourly_rate INTEGER NULLABLE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active BOOLEAN DEFAULT true</w:t>
      </w:r>
    </w:p>
    <w:p>
      <w:pPr>
        <w:spacing w:after="4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5C63"/>
          <w:sz w:val="23"/>
          <w:szCs w:val="23"/>
        </w:rPr>
        <w:t xml:space="preserve">SocialAccount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id UUID, client_id FK, platform ENUM(facebook|twitter|instagram|linkedin|whatsapp)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account_id, account_name, access_token TEXT ENCRYPTED, refresh_token TEXT ENCRYPTED NULLABLE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token_expires_at TIMESTAMP, scopes TEXT[], active BOOLEAN</w:t>
      </w:r>
    </w:p>
    <w:p>
      <w:pPr>
        <w:spacing w:after="4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5C63"/>
          <w:sz w:val="23"/>
          <w:szCs w:val="23"/>
        </w:rPr>
        <w:t xml:space="preserve">SocialPost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id UUID, client_id FK, communique_id FK NULLABLE, platform ENUM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content TEXT, media_urls TEXT[], status ENUM(draft|pending|scheduled|published|failed)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scheduled_at NULLABLE, published_at NULLABLE, platform_post_id NULLABLE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engagement_likes, engagement_shares, engagement_comments INTEGER DEFAULT 0</w:t>
      </w:r>
    </w:p>
    <w:p>
      <w:pPr>
        <w:spacing w:after="4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5C63"/>
          <w:sz w:val="23"/>
          <w:szCs w:val="23"/>
        </w:rPr>
        <w:t xml:space="preserve">TimeEntry + ClientReport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TimeEntry : id, agency_id, client_id, user_id, description, started_at, ended_at, duration_minutes, billable, hourly_rate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ClientReport : id, client_id, period_start, period_end, communiques_sent, avg_open_rate, estimated_reach, social_engagement_total, pdf_url, sent_to_client</w:t>
      </w:r>
    </w:p>
    <w:p>
      <w:pPr>
        <w:spacing w:after="80" w:before="120"/>
      </w:pPr>
      <w:r>
        <w:t xml:space="preserve"/>
      </w:r>
    </w:p>
    <w:p>
      <w:r>
        <w:br w:type="page"/>
      </w:r>
    </w:p>
    <w:p>
      <w:pPr>
        <w:pBdr>
          <w:bottom w:val="single" w:color="C8962E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0A1628"/>
          <w:sz w:val="32"/>
          <w:szCs w:val="32"/>
        </w:rPr>
        <w:t xml:space="preserve">3. API REST — Endpoints complets</w:t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3.1 Endpoints M1-M9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5C63"/>
          <w:sz w:val="23"/>
          <w:szCs w:val="23"/>
        </w:rPr>
        <w:t xml:space="preserve">PRESS + RÉSEAU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GET/POST /api/v1/communiques — Liste + création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GET /api/v1/communiques/{id}/stats — Statistiques lecture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POST /api/v1/communiques/{id}/relance — Relance non-lecteurs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GET/POST /api/v1/journalistes — Annuaire + import CSV</w:t>
      </w:r>
    </w:p>
    <w:p>
      <w:pPr>
        <w:spacing w:after="4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5C63"/>
          <w:sz w:val="23"/>
          <w:szCs w:val="23"/>
        </w:rPr>
        <w:t xml:space="preserve">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POST /api/v1/lives — Créer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GET /api/v1/lives/{id}/token — Token WebRTC par accrédité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GET /api/v1/lives/{id}/replay — Replay archivé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POST /api/v1/lives/{id}/questions — Soumettre question</w:t>
      </w:r>
    </w:p>
    <w:p>
      <w:pPr>
        <w:spacing w:after="4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5C63"/>
          <w:sz w:val="23"/>
          <w:szCs w:val="23"/>
        </w:rPr>
        <w:t xml:space="preserve">VEILLE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GET /api/v1/veille/mentions — Fil temps réel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POST /api/v1/veille/keywords — Configurer mots-clés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GET /api/v1/veille/rapport — Rapport quotidien/hebdo</w:t>
      </w:r>
    </w:p>
    <w:p>
      <w:pPr>
        <w:spacing w:after="4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5C63"/>
          <w:sz w:val="23"/>
          <w:szCs w:val="23"/>
        </w:rPr>
        <w:t xml:space="preserve">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GET /api/v1/analytics/overview — KPIs période glissante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GET /api/v1/analytics/journalistes — Classement par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GET /api/v1/analytics/rapport/pdf — Génération rapport</w:t>
      </w:r>
    </w:p>
    <w:p>
      <w:pPr>
        <w:spacing w:after="40" w:before="80"/>
      </w:pPr>
      <w:r>
        <w:t xml:space="preserv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3.2 Endpoints M10 AGENCE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5C63"/>
          <w:sz w:val="23"/>
          <w:szCs w:val="23"/>
        </w:rPr>
        <w:t xml:space="preserve">Gestion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GET /api/v1/agency/clients — Liste avec stats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POST /api/v1/agency/clients — Créer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POST /api/v1/agency/clients/{id}/switch — Basculer vers ce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PUT /api/v1/agency/clients/{id}/whitelabel — Config marque blanche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POST /api/v1/agency/clients/{id}/whitelabel/verify-dns — Vérifier DNS</w:t>
      </w:r>
    </w:p>
    <w:p>
      <w:pPr>
        <w:spacing w:after="4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5C63"/>
          <w:sz w:val="23"/>
          <w:szCs w:val="23"/>
        </w:rPr>
        <w:t xml:space="preserve">Réseaux sociaux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POST /api/v1/agency/clients/{id}/social-accounts/connect — OAuth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POST /api/v1/agency/clients/{id}/social-posts — Créer publication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POST /api/v1/agency/clients/{id}/social-posts/{pid}/publish — Publier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GET /api/v1/agency/clients/{id}/social-posts/{pid}/stats — Engagement</w:t>
      </w:r>
    </w:p>
    <w:p>
      <w:pPr>
        <w:spacing w:after="4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5C63"/>
          <w:sz w:val="23"/>
          <w:szCs w:val="23"/>
        </w:rPr>
        <w:t xml:space="preserve">Rapports et facturation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POST /api/v1/agency/clients/{id}/reports/generate — Générer rapport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POST /api/v1/agency/clients/{id}/reports/{rid}/send — Envoyer au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POST /api/v1/agency/clients/{id}/time-entries/start — Chronomètre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POST /api/v1/agency/clients/{id}/invoices/generate — Facture mensuelle</w:t>
      </w:r>
    </w:p>
    <w:p>
      <w:pPr>
        <w:spacing w:after="4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5C63"/>
          <w:sz w:val="23"/>
          <w:szCs w:val="23"/>
        </w:rPr>
        <w:t xml:space="preserve">Webhook validation client (sans compte)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GET /api/v1/agency/clients/{id}/review/{token} — Interface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POST /api/v1/agency/clients/{id}/review/{token}/approve — Approuver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POST /api/v1/agency/clients/{id}/review/{token}/reject — Rejeter + commentaire</w:t>
      </w:r>
    </w:p>
    <w:p>
      <w:pPr>
        <w:spacing w:after="80" w:before="120"/>
      </w:pPr>
      <w:r>
        <w:t xml:space="preserve"/>
      </w:r>
    </w:p>
    <w:p>
      <w:r>
        <w:br w:type="page"/>
      </w:r>
    </w:p>
    <w:p>
      <w:pPr>
        <w:pBdr>
          <w:bottom w:val="single" w:color="C8962E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0A1628"/>
          <w:sz w:val="32"/>
          <w:szCs w:val="32"/>
        </w:rPr>
        <w:t xml:space="preserve">4. Sécurité</w:t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4.1 Authentification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JWT Access token : 15 min — signé RS256 avec clé privée par tenant.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Refresh token : 7 jours — stocké en base, révocable, rotation à chaque usage.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2FA TOTP obligatoire pour rôles Admin, SG, AGENCY_ADMIN.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SSO SAML 2.0 optionnel pour institutions avec Active Directory.</w:t>
      </w:r>
    </w:p>
    <w:p>
      <w:pPr>
        <w:spacing w:after="40" w:before="80"/>
      </w:pPr>
      <w:r>
        <w:t xml:space="preserv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4.2 Sécurité tokens OAuth M10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Chiffrement AES-256-GCM de chaque token — clé dérivée par couple agency_id+client_id.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Clé maître stockée dans HashiCorp Vault — jamais en 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Rafraîchissement automatique si expiration &lt; 1 heure (Bull background job).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Notification immédiate si rafraîchissement impossible + désactivation du compte social.</w:t>
      </w:r>
    </w:p>
    <w:p>
      <w:pPr>
        <w:spacing w:after="40" w:before="80"/>
      </w:pPr>
      <w:r>
        <w:t xml:space="preserv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4.3 Protection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Rate limiting : 100 req/min par IP, 1000/min par token authentifié.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CORS whitelist stricte par tenant.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CSRF tokens sur toutes les mutations.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Input validation class-validator sur tous les DTOs.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SQL injection : ORM + requêtes paramétrées exclusivement.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XSS : DOMPurify + Content Security Policy headers.</w:t>
      </w:r>
    </w:p>
    <w:p>
      <w:pPr>
        <w:spacing w:after="40" w:before="80"/>
      </w:pPr>
      <w:r>
        <w:t xml:space="preserv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4.4 Sécurité mobile M10 A9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Biométrie Face ID/Touch ID + fallback PIN 6 chiffres.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JWT dans MMKV chiffré — jamais AsyncStorage.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Session expire après 30 min d'inactivité.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Certificate pinning — protection MITM.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Détection jailbreak/root — désactivation automatique.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Screenshot protection sur écrans sensibles (INBOX, CRM, détail client).</w:t>
      </w:r>
    </w:p>
    <w:p>
      <w:pPr>
        <w:spacing w:after="80" w:before="120"/>
      </w:pPr>
      <w:r>
        <w:t xml:space="preserve"/>
      </w:r>
    </w:p>
    <w:p>
      <w:r>
        <w:br w:type="page"/>
      </w:r>
    </w:p>
    <w:p>
      <w:pPr>
        <w:pBdr>
          <w:bottom w:val="single" w:color="C8962E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0A1628"/>
          <w:sz w:val="32"/>
          <w:szCs w:val="32"/>
        </w:rPr>
        <w:t xml:space="preserve">5. Infrastructure et SLA</w:t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5.1 Dimensionnement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Dimensionnement V1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Serveur applicatif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+ Nginx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vCPU, 4 GB RAM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vCPU, 8 GB RAM, SSD 100 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7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vCPU, 2 GB 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Stockage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 GB SSD extensible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Elasticsearch 8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vCPU, 4 GB 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Streaming LIVE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MediaSoup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vCPU dédiés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Puppeteer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vCPU dédié — jobs asynchrones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 vCPU, 1 GB RAM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5.2 SLA et objectifs de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99,5% / mois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Uptime Robot continu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Temps de réponse API P95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300ms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Prometheus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Chargement page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 secondes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Lighthouse &gt; 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Envoi communiqué 1000 destinataires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30 secondes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Bull queue 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Alerte VEILLE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automatisé quotidien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Génération rapport PDF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 minutes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Bull job 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RTO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4 heures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 de restauration mensuels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 heure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 toutes les heures</w:t>
            </w:r>
          </w:p>
        </w:tc>
      </w:tr>
    </w:tbl>
    <w:p>
      <w:pPr>
        <w:spacing w:after="80" w:before="120"/>
      </w:pPr>
      <w:r>
        <w:t xml:space="preserve"/>
      </w:r>
    </w:p>
    <w:p>
      <w:r>
        <w:br w:type="page"/>
      </w:r>
    </w:p>
    <w:p>
      <w:pPr>
        <w:pBdr>
          <w:bottom w:val="single" w:color="C8962E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0A1628"/>
          <w:sz w:val="32"/>
          <w:szCs w:val="32"/>
        </w:rPr>
        <w:t xml:space="preserve">6. Intégrations externes — tableau complet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 — 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CITIZEN M7 + AGENCE A4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token Meta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SMS Twilio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Twilio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SMS notifications M7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 + Secret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Facebook Graph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AGENCE A4 — Pages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OAuth 2.0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Twitter API 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AGENCE A4 — Tweets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OAuth 2.0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LinkedIn API 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AGENCE A4 — Pages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OAuth 2.0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Instagram 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AGENCE A4 — Posts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Via Facebook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obligatoire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transcription + VEILLE + Briefs AGENCE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Whisper local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SendGrid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Emails transactionnels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 direct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CDN + DDoS protection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Zone Token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Nginx direct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Monitoring erreurs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DSN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Logs locaux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CinetPay / Stripe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Paiements abonnements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 Key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Virement manuel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Puppeteer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Génération PDF rapports AGENCE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C8962E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0A1628"/>
          <w:sz w:val="32"/>
          <w:szCs w:val="32"/>
        </w:rPr>
        <w:t xml:space="preserve">7. Spécifications techniques M10 — Points critiques</w:t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7.1 Génération PDF rapports AGENCE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Puppeteer headless — rendu HTML/Handlebars → PDF haute qualité.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Chart.js rendu côté serveur — graphiques vectoriels intégrés.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Watermark supprimé en plan PRO et AGENCE.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Stockage dans MinIO — URL signée 7 jours envoyée au client.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Génération asynchrone via Bull job — notification push à la fin.</w:t>
      </w:r>
    </w:p>
    <w:p>
      <w:pPr>
        <w:spacing w:after="40" w:before="80"/>
      </w:pPr>
      <w:r>
        <w:t xml:space="preserv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7.2 Mobile React Native —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Expo SDK 50+ — OTA updates sans publication App Store.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React Query : cache offline via MMKV — données disponibles sans réseau.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Annuaire, agenda 14 jours, derniers communiqués synchronisés en cache local.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Actions offline en file d'attente — envoyées automatiquement au retour du réseau.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Transcription vocale via Expo Audio + OpenAI Whisper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QR code scan ACCREDIT via Expo Camera.</w:t>
      </w:r>
    </w:p>
    <w:p>
      <w:pPr>
        <w:spacing w:after="40" w:before="80"/>
      </w:pPr>
      <w:r>
        <w:t xml:space="preserv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7.3 OAuth réseaux sociaux — Sécurité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AES-256-GCM chiffrement — clé dérivée par couple agency+client.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HashiCorp Vault pour la clé maître — jamais stockée en 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Rafraîchissement automatique Bull background job à expiration - 1h.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Rate limits par réseau respectés via queue avec throttling Bull.</w:t>
      </w:r>
    </w:p>
    <w:p>
      <w:pPr>
        <w:spacing w:after="8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A1628" w:sz="2"/>
              <w:left w:val="single" w:color="0A1628" w:sz="14"/>
              <w:bottom w:val="single" w:color="0A1628" w:sz="2"/>
              <w:right w:val="none" w:color="FFFFFF" w:sz="0"/>
            </w:tcBorders>
            <w:shd w:fill="EE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Ce document constitue la référence technique complète de HERALDO V1 et V2 incluant le Module M10 AGENCE. Toute décision d'architecture dérogeant à ces spécifications doit être documentée et validée par le CTO d'AUXX SAS. Version HP-CST-V2-2026 supersède HP-CST-V1-2026.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62E" w:sz="4" w:space="4"/>
      </w:pBd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AUXX — HERALDO — CST V2.0 — Avril 2026   |   Page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8"/>
        <w:szCs w:val="18"/>
      </w:rPr>
      <w:t xml:space="preserve"> /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62E" w:sz="4" w:space="4"/>
      </w:pBd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HERALDO — Spécifications Techniques V2 — 10 Modules — HP-CST-V2-2026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C8962E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color w:val="64748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2026-04-18T02:04:17.492Z</dcterms:created>
  <dcterms:modified xsi:type="dcterms:W3CDTF">2026-04-18T02:04:17.492Z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