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600000" cy="1101000"/>
            <wp:docPr id="1" name="Picture 1"/>
            <wp:cNvGraphicFramePr>
              <a:graphicFrameLocks noChangeAspect="1"/>
            </wp:cNvGraphicFramePr>
            <a:graphic>
              <a:graphicData uri="http://schemas.openxmlformats.org/drawingml/2006/picture">
                <pic:pic>
                  <pic:nvPicPr>
                    <pic:cNvPr id="0" name="logo_principal.png"/>
                    <pic:cNvPicPr/>
                  </pic:nvPicPr>
                  <pic:blipFill>
                    <a:blip r:embed="rId9"/>
                    <a:stretch>
                      <a:fillRect/>
                    </a:stretch>
                  </pic:blipFill>
                  <pic:spPr>
                    <a:xfrm>
                      <a:off x="0" y="0"/>
                      <a:ext cx="3600000" cy="1101000"/>
                    </a:xfrm>
                    <a:prstGeom prst="rect"/>
                  </pic:spPr>
                </pic:pic>
              </a:graphicData>
            </a:graphic>
          </wp:inline>
        </w:drawing>
      </w:r>
    </w:p>
    <w:p/>
    <w:p/>
    <w:p/>
    <w:p>
      <w:pPr>
        <w:spacing w:after="120"/>
        <w:jc w:val="center"/>
      </w:pPr>
      <w:r>
        <w:rPr>
          <w:rFonts w:ascii="Calibri" w:hAnsi="Calibri"/>
          <w:b/>
          <w:color w:val="B8862E"/>
          <w:sz w:val="28"/>
        </w:rPr>
        <w:t>CHARTE INSTITUTIONNELLE — OPPOSABLE AUX UTILISATEURS</w:t>
      </w:r>
    </w:p>
    <w:p>
      <w:pPr>
        <w:spacing w:after="240"/>
        <w:jc w:val="center"/>
      </w:pPr>
      <w:r>
        <w:rPr>
          <w:rFonts w:ascii="Georgia" w:hAnsi="Georgia"/>
          <w:b/>
          <w:color w:val="0A2540"/>
          <w:sz w:val="56"/>
        </w:rPr>
        <w:t>Charte éditoriale</w:t>
        <w:br/>
        <w:t>et déontologique</w:t>
      </w:r>
    </w:p>
    <w:p>
      <w:pPr>
        <w:spacing w:after="720"/>
        <w:jc w:val="center"/>
      </w:pPr>
      <w:r>
        <w:rPr>
          <w:i/>
          <w:color w:val="5A6470"/>
          <w:sz w:val="26"/>
        </w:rPr>
        <w:t>Les règles professionnelles</w:t>
        <w:br/>
        <w:t>que nous nous imposons</w:t>
        <w:br/>
        <w:t>et que nous demandons à tous d'appliquer</w:t>
      </w:r>
    </w:p>
    <w:p>
      <w:pPr>
        <w:jc w:val="center"/>
      </w:pPr>
      <w:r>
        <w:rPr>
          <w:color w:val="B8862E"/>
          <w:sz w:val="28"/>
        </w:rPr>
        <w:t>— • —</w:t>
      </w:r>
    </w:p>
    <w:p/>
    <w:p/>
    <w:p/>
    <w:p/>
    <w:p/>
    <w:p/>
    <w:p/>
    <w:p/>
    <w:p>
      <w:pPr>
        <w:jc w:val="center"/>
      </w:pPr>
      <w:r>
        <w:rPr>
          <w:color w:val="5A6470"/>
          <w:sz w:val="18"/>
        </w:rPr>
        <w:t>Réf : HP-CHARTE-2026-019</w:t>
        <w:br/>
        <w:t>Avril 2026  |  Abidjan, Côte d'Ivoire</w:t>
        <w:br/>
        <w:br/>
        <w:t>Document confidentiel — Usage interne et investisseurs</w:t>
      </w:r>
    </w:p>
    <w:p>
      <w:r>
        <w:br w:type="page"/>
      </w:r>
    </w:p>
    <w:p>
      <w:pPr>
        <w:spacing w:before="360" w:after="40"/>
        <w:pBdr>
          <w:bottom w:val="single" w:sz="12" w:color="B8862E"/>
        </w:pBdr>
      </w:pPr>
      <w:r>
        <w:rPr>
          <w:rFonts w:ascii="Georgia" w:hAnsi="Georgia"/>
          <w:b/>
          <w:color w:val="0A2540"/>
          <w:sz w:val="36"/>
        </w:rPr>
        <w:t>PRÉAMBULE — POURQUOI CETTE CHARTE</w:t>
      </w:r>
    </w:p>
    <w:p>
      <w:pPr>
        <w:spacing w:after="120"/>
      </w:pP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HERALDO PRESS n'est pas un outil neutre. C'est une infrastructure qui influence la manière dont les institutions communiquent avec les médias, et dont les journalistes couvrent l'actualité institutionnelle. Cette influence appelle une responsabilité. Cette charte exprime notre vision de cette responsabilité et pose les règles qui en découlent pour tous les acteurs de la plateforme.</w:t>
            </w:r>
          </w:p>
        </w:tc>
      </w:tr>
    </w:tbl>
    <w:p>
      <w:pPr>
        <w:spacing w:after="40"/>
      </w:pPr>
    </w:p>
    <w:p>
      <w:pPr>
        <w:spacing w:before="280" w:after="80"/>
      </w:pPr>
      <w:r>
        <w:rPr>
          <w:rFonts w:ascii="Calibri" w:hAnsi="Calibri"/>
          <w:b/>
          <w:color w:val="0A2540"/>
          <w:sz w:val="26"/>
        </w:rPr>
        <w:t>Notre conviction fondatrice</w:t>
      </w:r>
    </w:p>
    <w:p>
      <w:pPr>
        <w:spacing w:after="120" w:line="300" w:lineRule="auto"/>
        <w:jc w:val="both"/>
      </w:pPr>
      <w:r>
        <w:rPr>
          <w:b w:val="0"/>
          <w:i w:val="0"/>
          <w:sz w:val="22"/>
        </w:rPr>
        <w:t>Un journalisme professionnel, éthique et économiquement viable est un pilier essentiel de la démocratie. Il permet aux citoyens de comprendre les décisions publiques, d'évaluer l'action des institutions, de participer au débat collectif de manière éclairée. Sans journalisme de qualité, la vie publique s'étiole.</w:t>
      </w:r>
    </w:p>
    <w:p>
      <w:pPr>
        <w:spacing w:after="120" w:line="300" w:lineRule="auto"/>
        <w:jc w:val="both"/>
      </w:pPr>
      <w:r>
        <w:rPr>
          <w:b w:val="0"/>
          <w:i w:val="0"/>
          <w:sz w:val="22"/>
        </w:rPr>
        <w:t>Pourtant, le journalisme est aujourd'hui fragilisé partout dans le monde et particulièrement en Afrique de l'Ouest : modèles économiques en crise, pressions politiques, manque de ressources pour couvrir l'actualité sérieuse. Dans ce contexte, les pratiques opaques de rémunération des couvertures (per diems en cash sans traçabilité, promesses verbales, contrats informels) ont prospéré. Elles fragilisent la déontologie, confondent communication institutionnelle et information vérifiée, et enferment les médias dans des rapports de dépendance malsains.</w:t>
      </w:r>
    </w:p>
    <w:p>
      <w:pPr>
        <w:spacing w:after="120" w:line="300" w:lineRule="auto"/>
        <w:jc w:val="both"/>
      </w:pPr>
      <w:r>
        <w:rPr>
          <w:b w:val="0"/>
          <w:i w:val="0"/>
          <w:sz w:val="22"/>
        </w:rPr>
        <w:t>HERALDO PRESS veut contribuer à changer cela. Nous proposons des outils qui structurent, tracent et assainissent les relations entre institutions et journalistes. Mais les outils ne suffisent pas. Il faut également des règles claires, partagées, opposables. C'est l'objet de cette charte.</w:t>
      </w:r>
    </w:p>
    <w:p>
      <w:pPr>
        <w:spacing w:before="280" w:after="80"/>
      </w:pPr>
      <w:r>
        <w:rPr>
          <w:rFonts w:ascii="Calibri" w:hAnsi="Calibri"/>
          <w:b/>
          <w:color w:val="0A2540"/>
          <w:sz w:val="26"/>
        </w:rPr>
        <w:t>À qui s'applique cette charte</w:t>
      </w:r>
    </w:p>
    <w:p>
      <w:pPr>
        <w:pStyle w:val="ListBullet"/>
        <w:spacing w:after="60"/>
        <w:ind w:left="340"/>
      </w:pPr>
      <w:r/>
      <w:r>
        <w:rPr>
          <w:sz w:val="22"/>
        </w:rPr>
        <w:t>Aux équipes internes de HERALDO PRESS, qui la respectent intégralement dans leurs décisions quotidiennes.</w:t>
      </w:r>
    </w:p>
    <w:p>
      <w:pPr>
        <w:pStyle w:val="ListBullet"/>
        <w:spacing w:after="60"/>
        <w:ind w:left="340"/>
      </w:pPr>
      <w:r/>
      <w:r>
        <w:rPr>
          <w:sz w:val="22"/>
        </w:rPr>
        <w:t>Aux institutions clientes, qui l'acceptent en souscrivant à tout abonnement HERALDO PRESS.</w:t>
      </w:r>
    </w:p>
    <w:p>
      <w:pPr>
        <w:pStyle w:val="ListBullet"/>
        <w:spacing w:after="60"/>
        <w:ind w:left="340"/>
      </w:pPr>
      <w:r/>
      <w:r>
        <w:rPr>
          <w:sz w:val="22"/>
        </w:rPr>
        <w:t>Aux journalistes accrédités, qui s'engagent à la respecter lors de leur accréditation.</w:t>
      </w:r>
    </w:p>
    <w:p>
      <w:pPr>
        <w:pStyle w:val="ListBullet"/>
        <w:spacing w:after="60"/>
        <w:ind w:left="340"/>
      </w:pPr>
      <w:r/>
      <w:r>
        <w:rPr>
          <w:sz w:val="22"/>
        </w:rPr>
        <w:t>Aux agences de relations publiques partenaires, qui l'acceptent en intégrant HERALDO PRESS dans leurs dispositifs.</w:t>
      </w:r>
    </w:p>
    <w:p>
      <w:pPr>
        <w:spacing w:before="280" w:after="80"/>
      </w:pPr>
      <w:r>
        <w:rPr>
          <w:rFonts w:ascii="Calibri" w:hAnsi="Calibri"/>
          <w:b/>
          <w:color w:val="0A2540"/>
          <w:sz w:val="26"/>
        </w:rPr>
        <w:t>Statut juridique</w:t>
      </w:r>
    </w:p>
    <w:p>
      <w:pPr>
        <w:spacing w:after="120" w:line="300" w:lineRule="auto"/>
        <w:jc w:val="both"/>
      </w:pPr>
      <w:r>
        <w:rPr>
          <w:b w:val="0"/>
          <w:i w:val="0"/>
          <w:sz w:val="22"/>
        </w:rPr>
        <w:t>Cette charte est opposable et constitue une annexe contractuelle aux Conditions Générales d'Utilisation de la plateforme. Tout manquement grave peut entraîner la suspension ou la révocation de l'accès, après instruction par le Comité éditorial paritaire défini dans la convention de partenariat avec l'Association des Directeurs de Publications.</w:t>
      </w:r>
    </w:p>
    <w:p>
      <w:r>
        <w:br w:type="page"/>
      </w:r>
    </w:p>
    <w:p>
      <w:pPr>
        <w:spacing w:before="360" w:after="40"/>
        <w:pBdr>
          <w:bottom w:val="single" w:sz="12" w:color="B8862E"/>
        </w:pBdr>
      </w:pPr>
      <w:r>
        <w:rPr>
          <w:rFonts w:ascii="Georgia" w:hAnsi="Georgia"/>
          <w:b/>
          <w:color w:val="0A2540"/>
          <w:sz w:val="36"/>
        </w:rPr>
        <w:t>I. LES QUATRE PRINCIPES FONDATEURS</w:t>
      </w:r>
    </w:p>
    <w:p>
      <w:pPr>
        <w:spacing w:after="120"/>
      </w:pPr>
    </w:p>
    <w:p>
      <w:pPr>
        <w:spacing w:before="280" w:after="80"/>
      </w:pPr>
      <w:r>
        <w:rPr>
          <w:rFonts w:ascii="Calibri" w:hAnsi="Calibri"/>
          <w:b/>
          <w:color w:val="0A2540"/>
          <w:sz w:val="26"/>
        </w:rPr>
        <w:t>Principe 1 — Indépendance éditoriale des journalistes</w:t>
      </w:r>
    </w:p>
    <w:p>
      <w:pPr>
        <w:spacing w:after="120" w:line="300" w:lineRule="auto"/>
        <w:jc w:val="both"/>
      </w:pPr>
      <w:r>
        <w:rPr>
          <w:b w:val="0"/>
          <w:i w:val="0"/>
          <w:sz w:val="22"/>
        </w:rPr>
        <w:t>La décision de publier ou non un contenu, l'angle retenu, le ton employé, les sources citées appartiennent exclusivement au journaliste et à sa rédaction. HERALDO PRESS et les institutions clientes n'ont aucune autorité sur ces choix.</w:t>
      </w:r>
    </w:p>
    <w:p>
      <w:pPr>
        <w:spacing w:after="120" w:line="300" w:lineRule="auto"/>
        <w:jc w:val="left"/>
      </w:pPr>
      <w:r>
        <w:rPr>
          <w:b w:val="0"/>
          <w:i w:val="0"/>
          <w:sz w:val="22"/>
        </w:rPr>
        <w:t>Concrètement, cela signifie que :</w:t>
      </w:r>
    </w:p>
    <w:p>
      <w:pPr>
        <w:pStyle w:val="ListBullet"/>
        <w:spacing w:after="60"/>
        <w:ind w:left="340"/>
      </w:pPr>
      <w:r/>
      <w:r>
        <w:rPr>
          <w:sz w:val="22"/>
        </w:rPr>
        <w:t>Un journaliste invité à une salle AGORA n'est jamais obligé d'en produire une couverture.</w:t>
      </w:r>
    </w:p>
    <w:p>
      <w:pPr>
        <w:pStyle w:val="ListBullet"/>
        <w:spacing w:after="60"/>
        <w:ind w:left="340"/>
      </w:pPr>
      <w:r/>
      <w:r>
        <w:rPr>
          <w:sz w:val="22"/>
        </w:rPr>
        <w:t>Un journaliste qui reçoit une rémunération FCM pour une couverture garde toute latitude sur le traitement éditorial (critique, neutre, élogieux).</w:t>
      </w:r>
    </w:p>
    <w:p>
      <w:pPr>
        <w:pStyle w:val="ListBullet"/>
        <w:spacing w:after="60"/>
        <w:ind w:left="340"/>
      </w:pPr>
      <w:r/>
      <w:r>
        <w:rPr>
          <w:sz w:val="22"/>
        </w:rPr>
        <w:t>Une institution ne peut pas exiger une relecture préalable ni imposer des modifications à un article publié en contrepartie d'un FCM.</w:t>
      </w:r>
    </w:p>
    <w:p>
      <w:pPr>
        <w:pStyle w:val="ListBullet"/>
        <w:spacing w:after="60"/>
        <w:ind w:left="340"/>
      </w:pPr>
      <w:r/>
      <w:r>
        <w:rPr>
          <w:sz w:val="22"/>
        </w:rPr>
        <w:t>HERALDO PRESS n'interfère jamais dans le contenu éditorial produit par les journalistes.</w:t>
      </w:r>
    </w:p>
    <w:p>
      <w:pPr>
        <w:spacing w:before="280" w:after="80"/>
      </w:pPr>
      <w:r>
        <w:rPr>
          <w:rFonts w:ascii="Calibri" w:hAnsi="Calibri"/>
          <w:b/>
          <w:color w:val="0A2540"/>
          <w:sz w:val="26"/>
        </w:rPr>
        <w:t>Principe 2 — Traçabilité et transparence des échanges financiers</w:t>
      </w:r>
    </w:p>
    <w:p>
      <w:pPr>
        <w:spacing w:after="120" w:line="300" w:lineRule="auto"/>
        <w:jc w:val="both"/>
      </w:pPr>
      <w:r>
        <w:rPr>
          <w:b w:val="0"/>
          <w:i w:val="0"/>
          <w:sz w:val="22"/>
        </w:rPr>
        <w:t>Toute rémunération versée à un journaliste en lien avec son activité doit être tracée, documentée et conforme aux cadres fiscal et déontologique. HERALDO PRESS refuse les pratiques de per diems en espèces sans traçabilité qui ont trop longtemps caractérisé le secteur.</w:t>
      </w:r>
    </w:p>
    <w:p>
      <w:pPr>
        <w:spacing w:after="120" w:line="300" w:lineRule="auto"/>
        <w:jc w:val="left"/>
      </w:pPr>
      <w:r>
        <w:rPr>
          <w:b w:val="0"/>
          <w:i w:val="0"/>
          <w:sz w:val="22"/>
        </w:rPr>
        <w:t>Concrètement, cela signifie que :</w:t>
      </w:r>
    </w:p>
    <w:p>
      <w:pPr>
        <w:pStyle w:val="ListBullet"/>
        <w:spacing w:after="60"/>
        <w:ind w:left="340"/>
      </w:pPr>
      <w:r/>
      <w:r>
        <w:rPr>
          <w:sz w:val="22"/>
        </w:rPr>
        <w:t>Tous les paiements FCM transitent par la plateforme, sont enregistrés, et restent accessibles aux parties concernées pour leurs déclarations fiscales.</w:t>
      </w:r>
    </w:p>
    <w:p>
      <w:pPr>
        <w:pStyle w:val="ListBullet"/>
        <w:spacing w:after="60"/>
        <w:ind w:left="340"/>
      </w:pPr>
      <w:r/>
      <w:r>
        <w:rPr>
          <w:sz w:val="22"/>
        </w:rPr>
        <w:t>Les montants des rémunérations FCM sont définis à l'avance et rendus publics pour chaque événement.</w:t>
      </w:r>
    </w:p>
    <w:p>
      <w:pPr>
        <w:pStyle w:val="ListBullet"/>
        <w:spacing w:after="60"/>
        <w:ind w:left="340"/>
      </w:pPr>
      <w:r/>
      <w:r>
        <w:rPr>
          <w:sz w:val="22"/>
        </w:rPr>
        <w:t>HERALDO PRESS conserve pour chaque transaction les éléments de preuve (publication effective, horodatage, lien vers l'article).</w:t>
      </w:r>
    </w:p>
    <w:p>
      <w:pPr>
        <w:pStyle w:val="ListBullet"/>
        <w:spacing w:after="60"/>
        <w:ind w:left="340"/>
      </w:pPr>
      <w:r/>
      <w:r>
        <w:rPr>
          <w:sz w:val="22"/>
        </w:rPr>
        <w:t>Les commissions de HERALDO PRESS (15%) sont affichées et connues de toutes les parties.</w:t>
      </w:r>
    </w:p>
    <w:p>
      <w:pPr>
        <w:spacing w:before="280" w:after="80"/>
      </w:pPr>
      <w:r>
        <w:rPr>
          <w:rFonts w:ascii="Calibri" w:hAnsi="Calibri"/>
          <w:b/>
          <w:color w:val="0A2540"/>
          <w:sz w:val="26"/>
        </w:rPr>
        <w:t>Principe 3 — Transparence sur la nature de la communication</w:t>
      </w:r>
    </w:p>
    <w:p>
      <w:pPr>
        <w:spacing w:after="120" w:line="300" w:lineRule="auto"/>
        <w:jc w:val="both"/>
      </w:pPr>
      <w:r>
        <w:rPr>
          <w:b w:val="0"/>
          <w:i w:val="0"/>
          <w:sz w:val="22"/>
        </w:rPr>
        <w:t>Les lecteurs, auditeurs et spectateurs doivent pouvoir distinguer sans ambiguïté ce qui relève du journalisme indépendant de ce qui relève d'une communication institutionnelle commanditée. Cette distinction est essentielle à la crédibilité du journalisme et au bon fonctionnement de la démocratie.</w:t>
      </w:r>
    </w:p>
    <w:p>
      <w:pPr>
        <w:spacing w:after="120" w:line="300" w:lineRule="auto"/>
        <w:jc w:val="left"/>
      </w:pPr>
      <w:r>
        <w:rPr>
          <w:b w:val="0"/>
          <w:i w:val="0"/>
          <w:sz w:val="22"/>
        </w:rPr>
        <w:t>Concrètement, cela signifie que :</w:t>
      </w:r>
    </w:p>
    <w:p>
      <w:pPr>
        <w:pStyle w:val="ListBullet"/>
        <w:spacing w:after="60"/>
        <w:ind w:left="340"/>
      </w:pPr>
      <w:r/>
      <w:r>
        <w:rPr>
          <w:sz w:val="22"/>
        </w:rPr>
        <w:t>Un publireportage, un communiqué commandité, un contenu sponsorisé doit être clairement identifié comme tel dans le média, conformément aux règles déontologiques et légales en vigueur.</w:t>
      </w:r>
    </w:p>
    <w:p>
      <w:pPr>
        <w:pStyle w:val="ListBullet"/>
        <w:spacing w:after="60"/>
        <w:ind w:left="340"/>
      </w:pPr>
      <w:r/>
      <w:r>
        <w:rPr>
          <w:sz w:val="22"/>
        </w:rPr>
        <w:t>HERALDO PRESS exige que les institutions clientes utilisent le bon outil pour le bon usage : module ÉMISSION pour les communiqués institutionnels, module AGORA pour les événements, module AMPLIFICATION pour les contenus promotionnels identifiés.</w:t>
      </w:r>
    </w:p>
    <w:p>
      <w:pPr>
        <w:pStyle w:val="ListBullet"/>
        <w:spacing w:after="60"/>
        <w:ind w:left="340"/>
      </w:pPr>
      <w:r/>
      <w:r>
        <w:rPr>
          <w:sz w:val="22"/>
        </w:rPr>
        <w:t>Une rémunération FCM n'est pas une rémunération contre contenu favorable — elle est une rémunération contre preuve de couverture, quel qu'en soit le traitement.</w:t>
      </w:r>
    </w:p>
    <w:p>
      <w:pPr>
        <w:spacing w:before="280" w:after="80"/>
      </w:pPr>
      <w:r>
        <w:rPr>
          <w:rFonts w:ascii="Calibri" w:hAnsi="Calibri"/>
          <w:b/>
          <w:color w:val="0A2540"/>
          <w:sz w:val="26"/>
        </w:rPr>
        <w:t>Principe 4 — Respect de la vie privée et protection des sources</w:t>
      </w:r>
    </w:p>
    <w:p>
      <w:pPr>
        <w:spacing w:after="120" w:line="300" w:lineRule="auto"/>
        <w:jc w:val="both"/>
      </w:pPr>
      <w:r>
        <w:rPr>
          <w:b w:val="0"/>
          <w:i w:val="0"/>
          <w:sz w:val="22"/>
        </w:rPr>
        <w:t>Le secret des sources est un pilier du journalisme d'investigation et de la démocratie. Les données personnelles collectées par HERALDO PRESS sont traitées dans le strict respect de la loi ivoirienne et avec un niveau de protection technique maximal.</w:t>
      </w:r>
    </w:p>
    <w:p>
      <w:pPr>
        <w:spacing w:after="120" w:line="300" w:lineRule="auto"/>
        <w:jc w:val="left"/>
      </w:pPr>
      <w:r>
        <w:rPr>
          <w:b w:val="0"/>
          <w:i w:val="0"/>
          <w:sz w:val="22"/>
        </w:rPr>
        <w:t>Concrètement, cela signifie que :</w:t>
      </w:r>
    </w:p>
    <w:p>
      <w:pPr>
        <w:pStyle w:val="ListBullet"/>
        <w:spacing w:after="60"/>
        <w:ind w:left="340"/>
      </w:pPr>
      <w:r/>
      <w:r>
        <w:rPr>
          <w:sz w:val="22"/>
        </w:rPr>
        <w:t>Les carnets de sources des journalistes sont chiffrés localement sur leurs appareils, inaccessibles à HERALDO PRESS.</w:t>
      </w:r>
    </w:p>
    <w:p>
      <w:pPr>
        <w:pStyle w:val="ListBullet"/>
        <w:spacing w:after="60"/>
        <w:ind w:left="340"/>
      </w:pPr>
      <w:r/>
      <w:r>
        <w:rPr>
          <w:sz w:val="22"/>
        </w:rPr>
        <w:t>HERALDO PRESS ne peut pas fournir à un tiers (même judiciaire) des données qu'elle ne possède pas techniquement.</w:t>
      </w:r>
    </w:p>
    <w:p>
      <w:pPr>
        <w:pStyle w:val="ListBullet"/>
        <w:spacing w:after="60"/>
        <w:ind w:left="340"/>
      </w:pPr>
      <w:r/>
      <w:r>
        <w:rPr>
          <w:sz w:val="22"/>
        </w:rPr>
        <w:t>Les données personnelles des utilisateurs (institutions, journalistes) sont protégées conformément à la loi 2013-450, avec déclaration ARTCI en bonne et due forme.</w:t>
      </w:r>
    </w:p>
    <w:p>
      <w:pPr>
        <w:pStyle w:val="ListBullet"/>
        <w:spacing w:after="60"/>
        <w:ind w:left="340"/>
      </w:pPr>
      <w:r/>
      <w:r>
        <w:rPr>
          <w:sz w:val="22"/>
        </w:rPr>
        <w:t>Aucune donnée n'est transmise à des tiers sans consentement explicite de la personne concernée.</w:t>
      </w:r>
    </w:p>
    <w:p>
      <w:r>
        <w:br w:type="page"/>
      </w:r>
    </w:p>
    <w:p>
      <w:pPr>
        <w:spacing w:before="360" w:after="40"/>
        <w:pBdr>
          <w:bottom w:val="single" w:sz="12" w:color="B8862E"/>
        </w:pBdr>
      </w:pPr>
      <w:r>
        <w:rPr>
          <w:rFonts w:ascii="Georgia" w:hAnsi="Georgia"/>
          <w:b/>
          <w:color w:val="0A2540"/>
          <w:sz w:val="36"/>
        </w:rPr>
        <w:t>II. RÈGLES APPLICABLES AUX INSTITUTIONS CLIENTES</w:t>
      </w:r>
    </w:p>
    <w:p>
      <w:pPr>
        <w:spacing w:after="120"/>
      </w:pPr>
    </w:p>
    <w:p>
      <w:pPr>
        <w:spacing w:before="280" w:after="80"/>
      </w:pPr>
      <w:r>
        <w:rPr>
          <w:rFonts w:ascii="Calibri" w:hAnsi="Calibri"/>
          <w:b/>
          <w:color w:val="0A2540"/>
          <w:sz w:val="26"/>
        </w:rPr>
        <w:t>Article 5 — Ce qui est attendu d'une institution cliente</w:t>
      </w:r>
    </w:p>
    <w:p>
      <w:pPr>
        <w:spacing w:after="120" w:line="300" w:lineRule="auto"/>
        <w:jc w:val="both"/>
      </w:pPr>
      <w:r>
        <w:rPr>
          <w:b w:val="0"/>
          <w:i w:val="0"/>
          <w:sz w:val="22"/>
        </w:rPr>
        <w:t>En souscrivant à HERALDO PRESS, une institution cliente s'engage à respecter les règles suivantes dans son usage quotidien de la plateforme :</w:t>
      </w:r>
    </w:p>
    <w:p>
      <w:pPr>
        <w:spacing w:before="160" w:after="40"/>
      </w:pPr>
      <w:r>
        <w:rPr>
          <w:b/>
          <w:color w:val="B8862E"/>
          <w:sz w:val="22"/>
        </w:rPr>
        <w:t>5.1 Véracité des communications</w:t>
      </w:r>
    </w:p>
    <w:p>
      <w:pPr>
        <w:pStyle w:val="ListBullet"/>
        <w:spacing w:after="60"/>
        <w:ind w:left="340"/>
      </w:pPr>
      <w:r/>
      <w:r>
        <w:rPr>
          <w:sz w:val="22"/>
        </w:rPr>
        <w:t>Les informations diffusées via HERALDO PRESS doivent être véridiques, vérifiées et vérifiables.</w:t>
      </w:r>
    </w:p>
    <w:p>
      <w:pPr>
        <w:pStyle w:val="ListBullet"/>
        <w:spacing w:after="60"/>
        <w:ind w:left="340"/>
      </w:pPr>
      <w:r/>
      <w:r>
        <w:rPr>
          <w:sz w:val="22"/>
        </w:rPr>
        <w:t>L'institution s'engage à corriger dans les plus brefs délais toute erreur ou inexactitude qu'elle aurait diffusée.</w:t>
      </w:r>
    </w:p>
    <w:p>
      <w:pPr>
        <w:pStyle w:val="ListBullet"/>
        <w:spacing w:after="60"/>
        <w:ind w:left="340"/>
      </w:pPr>
      <w:r/>
      <w:r>
        <w:rPr>
          <w:sz w:val="22"/>
        </w:rPr>
        <w:t>Les chiffres, statistiques et faits avancés doivent pouvoir être sourcés à la demande des journalistes.</w:t>
      </w:r>
    </w:p>
    <w:p>
      <w:pPr>
        <w:spacing w:before="160" w:after="40"/>
      </w:pPr>
      <w:r>
        <w:rPr>
          <w:b/>
          <w:color w:val="B8862E"/>
          <w:sz w:val="22"/>
        </w:rPr>
        <w:t>5.2 Respect des journalistes</w:t>
      </w:r>
    </w:p>
    <w:p>
      <w:pPr>
        <w:pStyle w:val="ListBullet"/>
        <w:spacing w:after="60"/>
        <w:ind w:left="340"/>
      </w:pPr>
      <w:r/>
      <w:r>
        <w:rPr>
          <w:sz w:val="22"/>
        </w:rPr>
        <w:t>L'institution traite tous les journalistes invités à ses salles AGORA avec respect, quels que soient leur média, leur ligne éditoriale, leur tendance politique présumée.</w:t>
      </w:r>
    </w:p>
    <w:p>
      <w:pPr>
        <w:pStyle w:val="ListBullet"/>
        <w:spacing w:after="60"/>
        <w:ind w:left="340"/>
      </w:pPr>
      <w:r/>
      <w:r>
        <w:rPr>
          <w:sz w:val="22"/>
        </w:rPr>
        <w:t>L'institution ne peut pas exclure un journaliste accrédité HERALDO PRESS en raison de ses opinions ou de publications antérieures critiques.</w:t>
      </w:r>
    </w:p>
    <w:p>
      <w:pPr>
        <w:pStyle w:val="ListBullet"/>
        <w:spacing w:after="60"/>
        <w:ind w:left="340"/>
      </w:pPr>
      <w:r/>
      <w:r>
        <w:rPr>
          <w:sz w:val="22"/>
        </w:rPr>
        <w:t>L'institution accepte le principe du débat contradictoire dans les salles AGORA et respecte la liberté de questionnement des journalistes.</w:t>
      </w:r>
    </w:p>
    <w:p>
      <w:pPr>
        <w:spacing w:before="160" w:after="40"/>
      </w:pPr>
      <w:r>
        <w:rPr>
          <w:b/>
          <w:color w:val="B8862E"/>
          <w:sz w:val="22"/>
        </w:rPr>
        <w:t>5.3 Usage approprié du FCM</w:t>
      </w:r>
    </w:p>
    <w:p>
      <w:pPr>
        <w:pStyle w:val="ListBullet"/>
        <w:spacing w:after="60"/>
        <w:ind w:left="340"/>
      </w:pPr>
      <w:r/>
      <w:r>
        <w:rPr>
          <w:sz w:val="22"/>
        </w:rPr>
        <w:t>Le FCM est un mécanisme de compensation des frais engagés par les journalistes pour couvrir un événement (transport, temps de travail). Il n'est pas une rémunération contre contenu favorable.</w:t>
      </w:r>
    </w:p>
    <w:p>
      <w:pPr>
        <w:pStyle w:val="ListBullet"/>
        <w:spacing w:after="60"/>
        <w:ind w:left="340"/>
      </w:pPr>
      <w:r/>
      <w:r>
        <w:rPr>
          <w:sz w:val="22"/>
        </w:rPr>
        <w:t>L'institution ne peut pas conditionner un paiement FCM à la tonalité de la couverture. Seule la preuve de publication effective est requise.</w:t>
      </w:r>
    </w:p>
    <w:p>
      <w:pPr>
        <w:pStyle w:val="ListBullet"/>
        <w:spacing w:after="60"/>
        <w:ind w:left="340"/>
      </w:pPr>
      <w:r/>
      <w:r>
        <w:rPr>
          <w:sz w:val="22"/>
        </w:rPr>
        <w:t>L'institution ne peut pas communiquer publiquement sur les montants FCM individuels versés à des journalistes, ni les utiliser comme moyen de pression.</w:t>
      </w:r>
    </w:p>
    <w:p>
      <w:pPr>
        <w:pStyle w:val="ListBullet"/>
        <w:spacing w:after="60"/>
        <w:ind w:left="340"/>
      </w:pPr>
      <w:r/>
      <w:r>
        <w:rPr>
          <w:sz w:val="22"/>
        </w:rPr>
        <w:t>L'institution s'engage à configurer des montants FCM raisonnables, alignés sur les pratiques du secteur, pour ne pas créer de distorsion de marché.</w:t>
      </w:r>
    </w:p>
    <w:p>
      <w:pPr>
        <w:spacing w:before="160" w:after="40"/>
      </w:pPr>
      <w:r>
        <w:rPr>
          <w:b/>
          <w:color w:val="B8862E"/>
          <w:sz w:val="22"/>
        </w:rPr>
        <w:t>5.4 Distinction de la communication institutionnelle et politique</w:t>
      </w:r>
    </w:p>
    <w:p>
      <w:pPr>
        <w:pStyle w:val="ListBullet"/>
        <w:spacing w:after="60"/>
        <w:ind w:left="340"/>
      </w:pPr>
      <w:r/>
      <w:r>
        <w:rPr>
          <w:sz w:val="22"/>
        </w:rPr>
        <w:t>Une institution publique (mairie, ministère) utilise HERALDO PRESS pour ses communications institutionnelles liées à ses missions de service public.</w:t>
      </w:r>
    </w:p>
    <w:p>
      <w:pPr>
        <w:pStyle w:val="ListBullet"/>
        <w:spacing w:after="60"/>
        <w:ind w:left="340"/>
      </w:pPr>
      <w:r/>
      <w:r>
        <w:rPr>
          <w:sz w:val="22"/>
        </w:rPr>
        <w:t>Elle ne peut pas utiliser HERALDO PRESS pour des communications à caractère électoral partisan, qui relèvent de l'activité politique personnelle de ses dirigeants et doivent emprunter d'autres canaux.</w:t>
      </w:r>
    </w:p>
    <w:p>
      <w:pPr>
        <w:pStyle w:val="ListBullet"/>
        <w:spacing w:after="60"/>
        <w:ind w:left="340"/>
      </w:pPr>
      <w:r/>
      <w:r>
        <w:rPr>
          <w:sz w:val="22"/>
        </w:rPr>
        <w:t>Cette distinction est cruciale notamment en périodes électorales.</w:t>
      </w:r>
    </w:p>
    <w:p>
      <w:pPr>
        <w:spacing w:before="160" w:after="40"/>
      </w:pPr>
      <w:r>
        <w:rPr>
          <w:b/>
          <w:color w:val="B8862E"/>
          <w:sz w:val="22"/>
        </w:rPr>
        <w:t>5.5 Respect des règlementations</w:t>
      </w:r>
    </w:p>
    <w:p>
      <w:pPr>
        <w:pStyle w:val="ListBullet"/>
        <w:spacing w:after="60"/>
        <w:ind w:left="340"/>
      </w:pPr>
      <w:r/>
      <w:r>
        <w:rPr>
          <w:sz w:val="22"/>
        </w:rPr>
        <w:t>L'institution respecte les réglementations CNPCI (Conseil National de la Presse), HACA (Haute Autorité de la Communication Audiovisuelle), et CNP (Commission Nationale de Presse).</w:t>
      </w:r>
    </w:p>
    <w:p>
      <w:pPr>
        <w:pStyle w:val="ListBullet"/>
        <w:spacing w:after="60"/>
        <w:ind w:left="340"/>
      </w:pPr>
      <w:r/>
      <w:r>
        <w:rPr>
          <w:sz w:val="22"/>
        </w:rPr>
        <w:t>L'institution respecte la loi 2013-450 sur la protection des données personnelles dans tout ce qui touche à ses communications et à la manipulation de listes de contacts.</w:t>
      </w:r>
    </w:p>
    <w:p>
      <w:pPr>
        <w:pStyle w:val="ListBullet"/>
        <w:spacing w:after="60"/>
        <w:ind w:left="340"/>
      </w:pPr>
      <w:r/>
      <w:r>
        <w:rPr>
          <w:sz w:val="22"/>
        </w:rPr>
        <w:t>L'institution respecte l'instruction BCEAO 001-01-2024 pour les transactions financières via Mobile Money.</w:t>
      </w:r>
    </w:p>
    <w:p>
      <w:pPr>
        <w:spacing w:before="280" w:after="80"/>
      </w:pPr>
      <w:r>
        <w:rPr>
          <w:rFonts w:ascii="Calibri" w:hAnsi="Calibri"/>
          <w:b/>
          <w:color w:val="0A2540"/>
          <w:sz w:val="26"/>
        </w:rPr>
        <w:t>Article 6 — Ce qui est interdit aux institutions</w:t>
      </w:r>
    </w:p>
    <w:p>
      <w:pPr>
        <w:spacing w:after="120" w:line="300" w:lineRule="auto"/>
        <w:jc w:val="left"/>
      </w:pPr>
      <w:r>
        <w:rPr>
          <w:b w:val="0"/>
          <w:i w:val="0"/>
          <w:sz w:val="22"/>
        </w:rPr>
        <w:t>Les pratiques suivantes sont strictement interdites sur HERALDO PRESS et exposent à suspension immédiate :</w:t>
      </w:r>
    </w:p>
    <w:p>
      <w:pPr>
        <w:pStyle w:val="ListBullet"/>
        <w:spacing w:after="60"/>
        <w:ind w:left="340"/>
      </w:pPr>
      <w:r/>
      <w:r>
        <w:rPr>
          <w:sz w:val="22"/>
        </w:rPr>
        <w:t>**Diffusion de fausses nouvelles** : communiqués contenant des informations délibérément fausses ou trompeuses.</w:t>
      </w:r>
    </w:p>
    <w:p>
      <w:pPr>
        <w:pStyle w:val="ListBullet"/>
        <w:spacing w:after="60"/>
        <w:ind w:left="340"/>
      </w:pPr>
      <w:r/>
      <w:r>
        <w:rPr>
          <w:sz w:val="22"/>
        </w:rPr>
        <w:t>**Diffamation** : attaques personnelles injustifiées contre des individus ou organisations.</w:t>
      </w:r>
    </w:p>
    <w:p>
      <w:pPr>
        <w:pStyle w:val="ListBullet"/>
        <w:spacing w:after="60"/>
        <w:ind w:left="340"/>
      </w:pPr>
      <w:r/>
      <w:r>
        <w:rPr>
          <w:sz w:val="22"/>
        </w:rPr>
        <w:t>**Incitation à la haine** : contenus attentatoires à la dignité humaine, appelant à la haine ethnique, religieuse, politique ou fondée sur le genre.</w:t>
      </w:r>
    </w:p>
    <w:p>
      <w:pPr>
        <w:pStyle w:val="ListBullet"/>
        <w:spacing w:after="60"/>
        <w:ind w:left="340"/>
      </w:pPr>
      <w:r/>
      <w:r>
        <w:rPr>
          <w:sz w:val="22"/>
        </w:rPr>
        <w:t>**Chantage éditorial** : menaces visant à obtenir une couverture favorable ou à empêcher une couverture critique.</w:t>
      </w:r>
    </w:p>
    <w:p>
      <w:pPr>
        <w:pStyle w:val="ListBullet"/>
        <w:spacing w:after="60"/>
        <w:ind w:left="340"/>
      </w:pPr>
      <w:r/>
      <w:r>
        <w:rPr>
          <w:sz w:val="22"/>
        </w:rPr>
        <w:t>**Corruption déguisée** : utilisation du FCM comme paiement pour des contenus favorables déguisés en articles d'information.</w:t>
      </w:r>
    </w:p>
    <w:p>
      <w:pPr>
        <w:pStyle w:val="ListBullet"/>
        <w:spacing w:after="60"/>
        <w:ind w:left="340"/>
      </w:pPr>
      <w:r/>
      <w:r>
        <w:rPr>
          <w:sz w:val="22"/>
        </w:rPr>
        <w:t>**Violation du secret des sources** : toute tentative de pression sur un journaliste pour obtenir l'identité d'une source.</w:t>
      </w:r>
    </w:p>
    <w:p>
      <w:pPr>
        <w:pStyle w:val="ListBullet"/>
        <w:spacing w:after="60"/>
        <w:ind w:left="340"/>
      </w:pPr>
      <w:r/>
      <w:r>
        <w:rPr>
          <w:sz w:val="22"/>
        </w:rPr>
        <w:t>**Usage détourné** : utilisation de HERALDO PRESS pour des communications n'ayant aucun rapport avec l'activité institutionnelle déclarée.</w:t>
      </w:r>
    </w:p>
    <w:p>
      <w:r>
        <w:br w:type="page"/>
      </w:r>
    </w:p>
    <w:p>
      <w:pPr>
        <w:spacing w:before="360" w:after="40"/>
        <w:pBdr>
          <w:bottom w:val="single" w:sz="12" w:color="B8862E"/>
        </w:pBdr>
      </w:pPr>
      <w:r>
        <w:rPr>
          <w:rFonts w:ascii="Georgia" w:hAnsi="Georgia"/>
          <w:b/>
          <w:color w:val="0A2540"/>
          <w:sz w:val="36"/>
        </w:rPr>
        <w:t>III. RÈGLES APPLICABLES AUX JOURNALISTES ACCRÉDITÉS</w:t>
      </w:r>
    </w:p>
    <w:p>
      <w:pPr>
        <w:spacing w:after="120"/>
      </w:pPr>
    </w:p>
    <w:p>
      <w:pPr>
        <w:spacing w:before="280" w:after="80"/>
      </w:pPr>
      <w:r>
        <w:rPr>
          <w:rFonts w:ascii="Calibri" w:hAnsi="Calibri"/>
          <w:b/>
          <w:color w:val="0A2540"/>
          <w:sz w:val="26"/>
        </w:rPr>
        <w:t>Article 7 — Ce qui est attendu d'un journaliste accrédité</w:t>
      </w:r>
    </w:p>
    <w:p>
      <w:pPr>
        <w:spacing w:before="160" w:after="40"/>
      </w:pPr>
      <w:r>
        <w:rPr>
          <w:b/>
          <w:color w:val="B8862E"/>
          <w:sz w:val="22"/>
        </w:rPr>
        <w:t>7.1 Exercice professionnel</w:t>
      </w:r>
    </w:p>
    <w:p>
      <w:pPr>
        <w:pStyle w:val="ListBullet"/>
        <w:spacing w:after="60"/>
        <w:ind w:left="340"/>
      </w:pPr>
      <w:r/>
      <w:r>
        <w:rPr>
          <w:sz w:val="22"/>
        </w:rPr>
        <w:t>Le journaliste accrédité exerce effectivement l'activité de journaliste en Côte d'Ivoire, soit comme salarié d'un média reconnu, soit comme pigiste ou indépendant avec publications régulières et documentables.</w:t>
      </w:r>
    </w:p>
    <w:p>
      <w:pPr>
        <w:pStyle w:val="ListBullet"/>
        <w:spacing w:after="60"/>
        <w:ind w:left="340"/>
      </w:pPr>
      <w:r/>
      <w:r>
        <w:rPr>
          <w:sz w:val="22"/>
        </w:rPr>
        <w:t>Il met à jour son profil HERALDO PRESS avec des informations exactes et actualisées (média employeur, spécialité, contact).</w:t>
      </w:r>
    </w:p>
    <w:p>
      <w:pPr>
        <w:pStyle w:val="ListBullet"/>
        <w:spacing w:after="60"/>
        <w:ind w:left="340"/>
      </w:pPr>
      <w:r/>
      <w:r>
        <w:rPr>
          <w:sz w:val="22"/>
        </w:rPr>
        <w:t>Il se conforme à la déontologie du journalisme ivoirien et aux règles de la profession (notamment le Code de déontologie du journaliste adopté par la profession).</w:t>
      </w:r>
    </w:p>
    <w:p>
      <w:pPr>
        <w:spacing w:before="160" w:after="40"/>
      </w:pPr>
      <w:r>
        <w:rPr>
          <w:b/>
          <w:color w:val="B8862E"/>
          <w:sz w:val="22"/>
        </w:rPr>
        <w:t>7.2 Participation aux événements</w:t>
      </w:r>
    </w:p>
    <w:p>
      <w:pPr>
        <w:pStyle w:val="ListBullet"/>
        <w:spacing w:after="60"/>
        <w:ind w:left="340"/>
      </w:pPr>
      <w:r/>
      <w:r>
        <w:rPr>
          <w:sz w:val="22"/>
        </w:rPr>
        <w:t>Le journaliste qui accepte une invitation à une salle AGORA s'engage à y participer effectivement, dans les horaires prévus, ou à prévenir en cas d'empêchement avec un préavis raisonnable.</w:t>
      </w:r>
    </w:p>
    <w:p>
      <w:pPr>
        <w:pStyle w:val="ListBullet"/>
        <w:spacing w:after="60"/>
        <w:ind w:left="340"/>
      </w:pPr>
      <w:r/>
      <w:r>
        <w:rPr>
          <w:sz w:val="22"/>
        </w:rPr>
        <w:t>Sa participation implique la possibilité de poser des questions, de challenger les éléments présentés, dans le respect du dialogue et de la courtoisie professionnelle.</w:t>
      </w:r>
    </w:p>
    <w:p>
      <w:pPr>
        <w:pStyle w:val="ListBullet"/>
        <w:spacing w:after="60"/>
        <w:ind w:left="340"/>
      </w:pPr>
      <w:r/>
      <w:r>
        <w:rPr>
          <w:sz w:val="22"/>
        </w:rPr>
        <w:t>Il respecte les règles de chaque salle AGORA (durée, modération, questions-réponses).</w:t>
      </w:r>
    </w:p>
    <w:p>
      <w:pPr>
        <w:spacing w:before="160" w:after="40"/>
      </w:pPr>
      <w:r>
        <w:rPr>
          <w:b/>
          <w:color w:val="B8862E"/>
          <w:sz w:val="22"/>
        </w:rPr>
        <w:t>7.3 Couverture médiatique</w:t>
      </w:r>
    </w:p>
    <w:p>
      <w:pPr>
        <w:pStyle w:val="ListBullet"/>
        <w:spacing w:after="60"/>
        <w:ind w:left="340"/>
      </w:pPr>
      <w:r/>
      <w:r>
        <w:rPr>
          <w:sz w:val="22"/>
        </w:rPr>
        <w:t>Si le journaliste accepte une configuration FCM d'un événement, il s'engage à produire une couverture s'il souhaite toucher la rémunération. Cette couverture reste sous son entière responsabilité éditoriale.</w:t>
      </w:r>
    </w:p>
    <w:p>
      <w:pPr>
        <w:pStyle w:val="ListBullet"/>
        <w:spacing w:after="60"/>
        <w:ind w:left="340"/>
      </w:pPr>
      <w:r/>
      <w:r>
        <w:rPr>
          <w:sz w:val="22"/>
        </w:rPr>
        <w:t>Il peut choisir de ne pas produire de couverture et, dans ce cas, ne sollicite pas de paiement FCM.</w:t>
      </w:r>
    </w:p>
    <w:p>
      <w:pPr>
        <w:pStyle w:val="ListBullet"/>
        <w:spacing w:after="60"/>
        <w:ind w:left="340"/>
      </w:pPr>
      <w:r/>
      <w:r>
        <w:rPr>
          <w:sz w:val="22"/>
        </w:rPr>
        <w:t>La couverture produite doit correspondre aux standards professionnels du journalisme : vérification des faits, contextualisation, équilibre des points de vue.</w:t>
      </w:r>
    </w:p>
    <w:p>
      <w:pPr>
        <w:pStyle w:val="ListBullet"/>
        <w:spacing w:after="60"/>
        <w:ind w:left="340"/>
      </w:pPr>
      <w:r/>
      <w:r>
        <w:rPr>
          <w:sz w:val="22"/>
        </w:rPr>
        <w:t>Le journaliste n'est jamais tenu de produire une couverture favorable à l'institution en contrepartie d'un paiement.</w:t>
      </w:r>
    </w:p>
    <w:p>
      <w:pPr>
        <w:spacing w:before="160" w:after="40"/>
      </w:pPr>
      <w:r>
        <w:rPr>
          <w:b/>
          <w:color w:val="B8862E"/>
          <w:sz w:val="22"/>
        </w:rPr>
        <w:t>7.4 Preuves de couverture FCM</w:t>
      </w:r>
    </w:p>
    <w:p>
      <w:pPr>
        <w:pStyle w:val="ListBullet"/>
        <w:spacing w:after="60"/>
        <w:ind w:left="340"/>
      </w:pPr>
      <w:r/>
      <w:r>
        <w:rPr>
          <w:sz w:val="22"/>
        </w:rPr>
        <w:t>Le journaliste soumet des preuves exactes et vérifiables : lien vers l'article publié, capture d'écran datée, ou enregistrement radio/TV avec horodatage.</w:t>
      </w:r>
    </w:p>
    <w:p>
      <w:pPr>
        <w:pStyle w:val="ListBullet"/>
        <w:spacing w:after="60"/>
        <w:ind w:left="340"/>
      </w:pPr>
      <w:r/>
      <w:r>
        <w:rPr>
          <w:sz w:val="22"/>
        </w:rPr>
        <w:t>Il ne soumet jamais des preuves falsifiées, plagiées, ou antérieures à l'événement couvert.</w:t>
      </w:r>
    </w:p>
    <w:p>
      <w:pPr>
        <w:pStyle w:val="ListBullet"/>
        <w:spacing w:after="60"/>
        <w:ind w:left="340"/>
      </w:pPr>
      <w:r/>
      <w:r>
        <w:rPr>
          <w:sz w:val="22"/>
        </w:rPr>
        <w:t>Il ne soumet pas la même preuve pour deux événements FCM distincts.</w:t>
      </w:r>
    </w:p>
    <w:p>
      <w:pPr>
        <w:spacing w:before="160" w:after="40"/>
      </w:pPr>
      <w:r>
        <w:rPr>
          <w:b/>
          <w:color w:val="B8862E"/>
          <w:sz w:val="22"/>
        </w:rPr>
        <w:t>7.5 Protection du secret des sources</w:t>
      </w:r>
    </w:p>
    <w:p>
      <w:pPr>
        <w:pStyle w:val="ListBullet"/>
        <w:spacing w:after="60"/>
        <w:ind w:left="340"/>
      </w:pPr>
      <w:r/>
      <w:r>
        <w:rPr>
          <w:sz w:val="22"/>
        </w:rPr>
        <w:t>Le journaliste utilise les outils HERALDO PRESS (notamment le module CARNET) pour protéger ses sources et ses enregistrements d'interviews.</w:t>
      </w:r>
    </w:p>
    <w:p>
      <w:pPr>
        <w:pStyle w:val="ListBullet"/>
        <w:spacing w:after="60"/>
        <w:ind w:left="340"/>
      </w:pPr>
      <w:r/>
      <w:r>
        <w:rPr>
          <w:sz w:val="22"/>
        </w:rPr>
        <w:t>Il ne partage pas les identités de ses sources avec l'institution cliente ou avec HERALDO PRESS.</w:t>
      </w:r>
    </w:p>
    <w:p>
      <w:pPr>
        <w:pStyle w:val="ListBullet"/>
        <w:spacing w:after="60"/>
        <w:ind w:left="340"/>
      </w:pPr>
      <w:r/>
      <w:r>
        <w:rPr>
          <w:sz w:val="22"/>
        </w:rPr>
        <w:t>Il signale à HERALDO PRESS toute tentative d'un tiers d'obtenir des informations sur ses sources à travers la plateforme.</w:t>
      </w:r>
    </w:p>
    <w:p>
      <w:pPr>
        <w:spacing w:before="280" w:after="80"/>
      </w:pPr>
      <w:r>
        <w:rPr>
          <w:rFonts w:ascii="Calibri" w:hAnsi="Calibri"/>
          <w:b/>
          <w:color w:val="0A2540"/>
          <w:sz w:val="26"/>
        </w:rPr>
        <w:t>Article 8 — Ce qui est interdit aux journalistes</w:t>
      </w:r>
    </w:p>
    <w:p>
      <w:pPr>
        <w:spacing w:after="120" w:line="300" w:lineRule="auto"/>
        <w:jc w:val="left"/>
      </w:pPr>
      <w:r>
        <w:rPr>
          <w:b w:val="0"/>
          <w:i w:val="0"/>
          <w:sz w:val="22"/>
        </w:rPr>
        <w:t>Les pratiques suivantes exposent à la suspension ou la révocation de l'accréditation :</w:t>
      </w:r>
    </w:p>
    <w:p>
      <w:pPr>
        <w:pStyle w:val="ListBullet"/>
        <w:spacing w:after="60"/>
        <w:ind w:left="340"/>
      </w:pPr>
      <w:r/>
      <w:r>
        <w:rPr>
          <w:sz w:val="22"/>
        </w:rPr>
        <w:t>**Fausses preuves FCM** : soumission d'articles non publiés, plagiés, antérieurs, ou modifiés pour faire croire à une publication récente.</w:t>
      </w:r>
    </w:p>
    <w:p>
      <w:pPr>
        <w:pStyle w:val="ListBullet"/>
        <w:spacing w:after="60"/>
        <w:ind w:left="340"/>
      </w:pPr>
      <w:r/>
      <w:r>
        <w:rPr>
          <w:sz w:val="22"/>
        </w:rPr>
        <w:t>**Publication commanditée déguisée** : acceptation d'argent ou d'avantage hors plateforme pour produire un article favorable sans mention claire de la nature commanditée.</w:t>
      </w:r>
    </w:p>
    <w:p>
      <w:pPr>
        <w:pStyle w:val="ListBullet"/>
        <w:spacing w:after="60"/>
        <w:ind w:left="340"/>
      </w:pPr>
      <w:r/>
      <w:r>
        <w:rPr>
          <w:sz w:val="22"/>
        </w:rPr>
        <w:t>**Double rémunération** : perception d'un paiement FCM HERALDO et parallèlement d'une rémunération opaque en espèces pour le même événement.</w:t>
      </w:r>
    </w:p>
    <w:p>
      <w:pPr>
        <w:pStyle w:val="ListBullet"/>
        <w:spacing w:after="60"/>
        <w:ind w:left="340"/>
      </w:pPr>
      <w:r/>
      <w:r>
        <w:rPr>
          <w:sz w:val="22"/>
        </w:rPr>
        <w:t>**Fausses allégations** : publication d'informations manifestement fausses visant une personne, une institution, ou un groupe.</w:t>
      </w:r>
    </w:p>
    <w:p>
      <w:pPr>
        <w:pStyle w:val="ListBullet"/>
        <w:spacing w:after="60"/>
        <w:ind w:left="340"/>
      </w:pPr>
      <w:r/>
      <w:r>
        <w:rPr>
          <w:sz w:val="22"/>
        </w:rPr>
        <w:t>**Usage commercial des contacts HERALDO** : utilisation du carnet de contacts ou de l'annuaire HERALDO pour du démarchage commercial hors plateforme.</w:t>
      </w:r>
    </w:p>
    <w:p>
      <w:pPr>
        <w:pStyle w:val="ListBullet"/>
        <w:spacing w:after="60"/>
        <w:ind w:left="340"/>
      </w:pPr>
      <w:r/>
      <w:r>
        <w:rPr>
          <w:sz w:val="22"/>
        </w:rPr>
        <w:t>**Violation de la confidentialité** : divulgation d'informations confidentielles partagées par une institution en préparation d'un événement.</w:t>
      </w:r>
    </w:p>
    <w:p>
      <w:r>
        <w:br w:type="page"/>
      </w:r>
    </w:p>
    <w:p>
      <w:pPr>
        <w:spacing w:before="360" w:after="40"/>
        <w:pBdr>
          <w:bottom w:val="single" w:sz="12" w:color="B8862E"/>
        </w:pBdr>
      </w:pPr>
      <w:r>
        <w:rPr>
          <w:rFonts w:ascii="Georgia" w:hAnsi="Georgia"/>
          <w:b/>
          <w:color w:val="0A2540"/>
          <w:sz w:val="36"/>
        </w:rPr>
        <w:t>IV. LES ENGAGEMENTS DE HERALDO PRESS ENVERS TOUS</w:t>
      </w:r>
    </w:p>
    <w:p>
      <w:pPr>
        <w:spacing w:after="120"/>
      </w:pPr>
    </w:p>
    <w:p>
      <w:pPr>
        <w:spacing w:before="280" w:after="80"/>
      </w:pPr>
      <w:r>
        <w:rPr>
          <w:rFonts w:ascii="Calibri" w:hAnsi="Calibri"/>
          <w:b/>
          <w:color w:val="0A2540"/>
          <w:sz w:val="26"/>
        </w:rPr>
        <w:t>Article 9 — Nos engagements opérationnels</w:t>
      </w:r>
    </w:p>
    <w:p>
      <w:pPr>
        <w:spacing w:before="160" w:after="40"/>
      </w:pPr>
      <w:r>
        <w:rPr>
          <w:b/>
          <w:color w:val="B8862E"/>
          <w:sz w:val="22"/>
        </w:rPr>
        <w:t>9.1 Neutralité</w:t>
      </w:r>
    </w:p>
    <w:p>
      <w:pPr>
        <w:pStyle w:val="ListBullet"/>
        <w:spacing w:after="60"/>
        <w:ind w:left="340"/>
      </w:pPr>
      <w:r/>
      <w:r>
        <w:rPr>
          <w:sz w:val="22"/>
        </w:rPr>
        <w:t>HERALDO PRESS ne favorise aucune institution cliente ni aucun journaliste accrédité dans ses décisions opérationnelles.</w:t>
      </w:r>
    </w:p>
    <w:p>
      <w:pPr>
        <w:pStyle w:val="ListBullet"/>
        <w:spacing w:after="60"/>
        <w:ind w:left="340"/>
      </w:pPr>
      <w:r/>
      <w:r>
        <w:rPr>
          <w:sz w:val="22"/>
        </w:rPr>
        <w:t>HERALDO PRESS n'exerce aucune censure éditoriale sur les contenus des journalistes.</w:t>
      </w:r>
    </w:p>
    <w:p>
      <w:pPr>
        <w:pStyle w:val="ListBullet"/>
        <w:spacing w:after="60"/>
        <w:ind w:left="340"/>
      </w:pPr>
      <w:r/>
      <w:r>
        <w:rPr>
          <w:sz w:val="22"/>
        </w:rPr>
        <w:t>HERALDO PRESS n'influence pas la ligne éditoriale des médias qui utilisent sa plateforme.</w:t>
      </w:r>
    </w:p>
    <w:p>
      <w:pPr>
        <w:spacing w:before="160" w:after="40"/>
      </w:pPr>
      <w:r>
        <w:rPr>
          <w:b/>
          <w:color w:val="B8862E"/>
          <w:sz w:val="22"/>
        </w:rPr>
        <w:t>9.2 Transparence</w:t>
      </w:r>
    </w:p>
    <w:p>
      <w:pPr>
        <w:pStyle w:val="ListBullet"/>
        <w:spacing w:after="60"/>
        <w:ind w:left="340"/>
      </w:pPr>
      <w:r/>
      <w:r>
        <w:rPr>
          <w:sz w:val="22"/>
        </w:rPr>
        <w:t>La tarification de HERALDO PRESS est publique.</w:t>
      </w:r>
    </w:p>
    <w:p>
      <w:pPr>
        <w:pStyle w:val="ListBullet"/>
        <w:spacing w:after="60"/>
        <w:ind w:left="340"/>
      </w:pPr>
      <w:r/>
      <w:r>
        <w:rPr>
          <w:sz w:val="22"/>
        </w:rPr>
        <w:t>Les conditions FCM, y compris la commission de 15%, sont connues de toutes les parties.</w:t>
      </w:r>
    </w:p>
    <w:p>
      <w:pPr>
        <w:pStyle w:val="ListBullet"/>
        <w:spacing w:after="60"/>
        <w:ind w:left="340"/>
      </w:pPr>
      <w:r/>
      <w:r>
        <w:rPr>
          <w:sz w:val="22"/>
        </w:rPr>
        <w:t>Les critères d'accréditation des journalistes sont publics.</w:t>
      </w:r>
    </w:p>
    <w:p>
      <w:pPr>
        <w:pStyle w:val="ListBullet"/>
        <w:spacing w:after="60"/>
        <w:ind w:left="340"/>
      </w:pPr>
      <w:r/>
      <w:r>
        <w:rPr>
          <w:sz w:val="22"/>
        </w:rPr>
        <w:t>Les règles de modération et de sanction sont explicites dans la présente charte.</w:t>
      </w:r>
    </w:p>
    <w:p>
      <w:pPr>
        <w:spacing w:before="160" w:after="40"/>
      </w:pPr>
      <w:r>
        <w:rPr>
          <w:b/>
          <w:color w:val="B8862E"/>
          <w:sz w:val="22"/>
        </w:rPr>
        <w:t>9.3 Fiabilité technique</w:t>
      </w:r>
    </w:p>
    <w:p>
      <w:pPr>
        <w:pStyle w:val="ListBullet"/>
        <w:spacing w:after="60"/>
        <w:ind w:left="340"/>
      </w:pPr>
      <w:r/>
      <w:r>
        <w:rPr>
          <w:sz w:val="22"/>
        </w:rPr>
        <w:t>HERALDO PRESS s'engage sur un taux de disponibilité minimum de 99% en moyenne annuelle.</w:t>
      </w:r>
    </w:p>
    <w:p>
      <w:pPr>
        <w:pStyle w:val="ListBullet"/>
        <w:spacing w:after="60"/>
        <w:ind w:left="340"/>
      </w:pPr>
      <w:r/>
      <w:r>
        <w:rPr>
          <w:sz w:val="22"/>
        </w:rPr>
        <w:t>Les paiements FCM sont exécutés dans les délais annoncés (moins de 24h après validation de preuve).</w:t>
      </w:r>
    </w:p>
    <w:p>
      <w:pPr>
        <w:pStyle w:val="ListBullet"/>
        <w:spacing w:after="60"/>
        <w:ind w:left="340"/>
      </w:pPr>
      <w:r/>
      <w:r>
        <w:rPr>
          <w:sz w:val="22"/>
        </w:rPr>
        <w:t>Les données utilisateurs sont protégées selon les meilleurs standards techniques disponibles.</w:t>
      </w:r>
    </w:p>
    <w:p>
      <w:pPr>
        <w:pStyle w:val="ListBullet"/>
        <w:spacing w:after="60"/>
        <w:ind w:left="340"/>
      </w:pPr>
      <w:r/>
      <w:r>
        <w:rPr>
          <w:sz w:val="22"/>
        </w:rPr>
        <w:t>Les sauvegardes sont quotidiennes et redondantes pour prévenir toute perte.</w:t>
      </w:r>
    </w:p>
    <w:p>
      <w:pPr>
        <w:spacing w:before="160" w:after="40"/>
      </w:pPr>
      <w:r>
        <w:rPr>
          <w:b/>
          <w:color w:val="B8862E"/>
          <w:sz w:val="22"/>
        </w:rPr>
        <w:t>9.4 Support humain</w:t>
      </w:r>
    </w:p>
    <w:p>
      <w:pPr>
        <w:pStyle w:val="ListBullet"/>
        <w:spacing w:after="60"/>
        <w:ind w:left="340"/>
      </w:pPr>
      <w:r/>
      <w:r>
        <w:rPr>
          <w:sz w:val="22"/>
        </w:rPr>
        <w:t>Un support utilisateur est disponible du lundi au vendredi, de 8h à 18h, par chat intégré et email.</w:t>
      </w:r>
    </w:p>
    <w:p>
      <w:pPr>
        <w:pStyle w:val="ListBullet"/>
        <w:spacing w:after="60"/>
        <w:ind w:left="340"/>
      </w:pPr>
      <w:r/>
      <w:r>
        <w:rPr>
          <w:sz w:val="22"/>
        </w:rPr>
        <w:t>Un support téléphonique est disponible pour les clients INSTITUTION et cas d'urgence.</w:t>
      </w:r>
    </w:p>
    <w:p>
      <w:pPr>
        <w:pStyle w:val="ListBullet"/>
        <w:spacing w:after="60"/>
        <w:ind w:left="340"/>
      </w:pPr>
      <w:r/>
      <w:r>
        <w:rPr>
          <w:sz w:val="22"/>
        </w:rPr>
        <w:t>Le temps de première réponse est inférieur à 4 heures ouvrées.</w:t>
      </w:r>
    </w:p>
    <w:p>
      <w:pPr>
        <w:spacing w:before="280" w:after="80"/>
      </w:pPr>
      <w:r>
        <w:rPr>
          <w:rFonts w:ascii="Calibri" w:hAnsi="Calibri"/>
          <w:b/>
          <w:color w:val="0A2540"/>
          <w:sz w:val="26"/>
        </w:rPr>
        <w:t>Article 10 — Ce que nous ne ferons jamais</w:t>
      </w:r>
    </w:p>
    <w:p>
      <w:pPr>
        <w:spacing w:after="120" w:line="300" w:lineRule="auto"/>
        <w:jc w:val="left"/>
      </w:pPr>
      <w:r>
        <w:rPr>
          <w:b w:val="0"/>
          <w:i w:val="0"/>
          <w:sz w:val="22"/>
        </w:rPr>
        <w:t>HERALDO PRESS s'engage fermement à ne jamais :</w:t>
      </w:r>
    </w:p>
    <w:p>
      <w:pPr>
        <w:pStyle w:val="ListBullet"/>
        <w:spacing w:after="60"/>
        <w:ind w:left="340"/>
      </w:pPr>
      <w:r/>
      <w:r>
        <w:rPr>
          <w:sz w:val="22"/>
        </w:rPr>
        <w:t>**Vendre les données personnelles** de ses utilisateurs, clients institutionnels ou journalistes.</w:t>
      </w:r>
    </w:p>
    <w:p>
      <w:pPr>
        <w:pStyle w:val="ListBullet"/>
        <w:spacing w:after="60"/>
        <w:ind w:left="340"/>
      </w:pPr>
      <w:r/>
      <w:r>
        <w:rPr>
          <w:sz w:val="22"/>
        </w:rPr>
        <w:t>**Afficher de publicités** tierces dans l'interface de la plateforme.</w:t>
      </w:r>
    </w:p>
    <w:p>
      <w:pPr>
        <w:pStyle w:val="ListBullet"/>
        <w:spacing w:after="60"/>
        <w:ind w:left="340"/>
      </w:pPr>
      <w:r/>
      <w:r>
        <w:rPr>
          <w:sz w:val="22"/>
        </w:rPr>
        <w:t>**Déchiffrer les carnets de sources** des journalistes (techniquement impossible par conception).</w:t>
      </w:r>
    </w:p>
    <w:p>
      <w:pPr>
        <w:pStyle w:val="ListBullet"/>
        <w:spacing w:after="60"/>
        <w:ind w:left="340"/>
      </w:pPr>
      <w:r/>
      <w:r>
        <w:rPr>
          <w:sz w:val="22"/>
        </w:rPr>
        <w:t>**Modifier unilatéralement** les règles de cette charte sans consultation du Comité éditorial paritaire.</w:t>
      </w:r>
    </w:p>
    <w:p>
      <w:pPr>
        <w:pStyle w:val="ListBullet"/>
        <w:spacing w:after="60"/>
        <w:ind w:left="340"/>
      </w:pPr>
      <w:r/>
      <w:r>
        <w:rPr>
          <w:sz w:val="22"/>
        </w:rPr>
        <w:t>**Exercer de pression éditoriale** sur les journalistes en faveur ou contre une institution cliente.</w:t>
      </w:r>
    </w:p>
    <w:p>
      <w:pPr>
        <w:pStyle w:val="ListBullet"/>
        <w:spacing w:after="60"/>
        <w:ind w:left="340"/>
      </w:pPr>
      <w:r/>
      <w:r>
        <w:rPr>
          <w:sz w:val="22"/>
        </w:rPr>
        <w:t>**Fermer la plateforme sans préavis** : un préavis minimal de six mois serait donné en cas de cessation d'activité, avec export intégral des données pour tous les utilisateurs.</w:t>
      </w:r>
    </w:p>
    <w:p>
      <w:pPr>
        <w:pStyle w:val="ListBullet"/>
        <w:spacing w:after="60"/>
        <w:ind w:left="340"/>
      </w:pPr>
      <w:r/>
      <w:r>
        <w:rPr>
          <w:sz w:val="22"/>
        </w:rPr>
        <w:t>**Collaborer avec des acteurs non conformes** : gouvernements cherchant à surveiller les journalistes, sociétés de surveillance de masse, etc.</w:t>
      </w:r>
    </w:p>
    <w:p>
      <w:r>
        <w:br w:type="page"/>
      </w:r>
    </w:p>
    <w:p>
      <w:pPr>
        <w:spacing w:before="360" w:after="40"/>
        <w:pBdr>
          <w:bottom w:val="single" w:sz="12" w:color="B8862E"/>
        </w:pBdr>
      </w:pPr>
      <w:r>
        <w:rPr>
          <w:rFonts w:ascii="Georgia" w:hAnsi="Georgia"/>
          <w:b/>
          <w:color w:val="0A2540"/>
          <w:sz w:val="36"/>
        </w:rPr>
        <w:t>V. GOUVERNANCE ET APPLICATION DE LA CHARTE</w:t>
      </w:r>
    </w:p>
    <w:p>
      <w:pPr>
        <w:spacing w:after="120"/>
      </w:pPr>
    </w:p>
    <w:p>
      <w:pPr>
        <w:spacing w:before="280" w:after="80"/>
      </w:pPr>
      <w:r>
        <w:rPr>
          <w:rFonts w:ascii="Calibri" w:hAnsi="Calibri"/>
          <w:b/>
          <w:color w:val="0A2540"/>
          <w:sz w:val="26"/>
        </w:rPr>
        <w:t>Article 11 — Le Comité éditorial paritaire</w:t>
      </w:r>
    </w:p>
    <w:p>
      <w:pPr>
        <w:spacing w:after="120" w:line="300" w:lineRule="auto"/>
        <w:jc w:val="both"/>
      </w:pPr>
      <w:r>
        <w:rPr>
          <w:b w:val="0"/>
          <w:i w:val="0"/>
          <w:sz w:val="22"/>
        </w:rPr>
        <w:t>L'application, l'interprétation et l'évolution de la présente charte relèvent du Comité éditorial paritaire défini dans la convention de partenariat entre HERALDO PRESS et l'Association des Directeurs de Publications des Journaux de Côte d'Ivoire.</w:t>
      </w:r>
    </w:p>
    <w:p>
      <w:pPr>
        <w:spacing w:after="120" w:line="300" w:lineRule="auto"/>
        <w:jc w:val="left"/>
      </w:pPr>
      <w:r>
        <w:rPr>
          <w:b w:val="0"/>
          <w:i w:val="0"/>
          <w:sz w:val="22"/>
        </w:rPr>
        <w:t>Le Comité :</w:t>
      </w:r>
    </w:p>
    <w:p>
      <w:pPr>
        <w:pStyle w:val="ListBullet"/>
        <w:spacing w:after="60"/>
        <w:ind w:left="340"/>
      </w:pPr>
      <w:r/>
      <w:r>
        <w:rPr>
          <w:sz w:val="22"/>
        </w:rPr>
        <w:t>Se réunit trimestriellement en session ordinaire.</w:t>
      </w:r>
    </w:p>
    <w:p>
      <w:pPr>
        <w:pStyle w:val="ListBullet"/>
        <w:spacing w:after="60"/>
        <w:ind w:left="340"/>
      </w:pPr>
      <w:r/>
      <w:r>
        <w:rPr>
          <w:sz w:val="22"/>
        </w:rPr>
        <w:t>Peut se réunir en session extraordinaire pour trancher un cas grave.</w:t>
      </w:r>
    </w:p>
    <w:p>
      <w:pPr>
        <w:pStyle w:val="ListBullet"/>
        <w:spacing w:after="60"/>
        <w:ind w:left="340"/>
      </w:pPr>
      <w:r/>
      <w:r>
        <w:rPr>
          <w:sz w:val="22"/>
        </w:rPr>
        <w:t>Traite les contestations portées par une institution, un journaliste, ou HERALDO PRESS.</w:t>
      </w:r>
    </w:p>
    <w:p>
      <w:pPr>
        <w:pStyle w:val="ListBullet"/>
        <w:spacing w:after="60"/>
        <w:ind w:left="340"/>
      </w:pPr>
      <w:r/>
      <w:r>
        <w:rPr>
          <w:sz w:val="22"/>
        </w:rPr>
        <w:t>Recommande des sanctions (avertissement, suspension, révocation d'accréditation ou d'abonnement).</w:t>
      </w:r>
    </w:p>
    <w:p>
      <w:pPr>
        <w:pStyle w:val="ListBullet"/>
        <w:spacing w:after="60"/>
        <w:ind w:left="340"/>
      </w:pPr>
      <w:r/>
      <w:r>
        <w:rPr>
          <w:sz w:val="22"/>
        </w:rPr>
        <w:t>Publie annuellement un rapport d'activité anonymisé sur l'application de la charte.</w:t>
      </w:r>
    </w:p>
    <w:p>
      <w:pPr>
        <w:spacing w:before="280" w:after="80"/>
      </w:pPr>
      <w:r>
        <w:rPr>
          <w:rFonts w:ascii="Calibri" w:hAnsi="Calibri"/>
          <w:b/>
          <w:color w:val="0A2540"/>
          <w:sz w:val="26"/>
        </w:rPr>
        <w:t>Article 12 — Procédure en cas de manquement</w:t>
      </w:r>
    </w:p>
    <w:p>
      <w:pPr>
        <w:spacing w:before="160" w:after="40"/>
      </w:pPr>
      <w:r>
        <w:rPr>
          <w:b/>
          <w:color w:val="B8862E"/>
          <w:sz w:val="22"/>
        </w:rPr>
        <w:t>12.1 Signalement</w:t>
      </w:r>
    </w:p>
    <w:p>
      <w:pPr>
        <w:spacing w:after="120" w:line="300" w:lineRule="auto"/>
        <w:jc w:val="both"/>
      </w:pPr>
      <w:r>
        <w:rPr>
          <w:b w:val="0"/>
          <w:i w:val="0"/>
          <w:sz w:val="22"/>
        </w:rPr>
        <w:t>Tout utilisateur, tiers concerné ou membre de l'équipe HERALDO peut signaler un manquement présumé via :</w:t>
      </w:r>
    </w:p>
    <w:p>
      <w:pPr>
        <w:pStyle w:val="ListBullet"/>
        <w:spacing w:after="60"/>
        <w:ind w:left="340"/>
      </w:pPr>
      <w:r/>
      <w:r>
        <w:rPr>
          <w:sz w:val="22"/>
        </w:rPr>
        <w:t>Le formulaire dédié disponible dans la plateforme.</w:t>
      </w:r>
    </w:p>
    <w:p>
      <w:pPr>
        <w:pStyle w:val="ListBullet"/>
        <w:spacing w:after="60"/>
        <w:ind w:left="340"/>
      </w:pPr>
      <w:r/>
      <w:r>
        <w:rPr>
          <w:sz w:val="22"/>
        </w:rPr>
        <w:t>L'email ethique@heraldo-press.ci</w:t>
      </w:r>
    </w:p>
    <w:p>
      <w:pPr>
        <w:pStyle w:val="ListBullet"/>
        <w:spacing w:after="60"/>
        <w:ind w:left="340"/>
      </w:pPr>
      <w:r/>
      <w:r>
        <w:rPr>
          <w:sz w:val="22"/>
        </w:rPr>
        <w:t>Le courrier postal au siège de HERALDO PRESS.</w:t>
      </w:r>
    </w:p>
    <w:p>
      <w:pPr>
        <w:spacing w:before="160" w:after="40"/>
      </w:pPr>
      <w:r>
        <w:rPr>
          <w:b/>
          <w:color w:val="B8862E"/>
          <w:sz w:val="22"/>
        </w:rPr>
        <w:t>12.2 Instruction</w:t>
      </w:r>
    </w:p>
    <w:p>
      <w:pPr>
        <w:pStyle w:val="ListBullet"/>
        <w:spacing w:after="60"/>
        <w:ind w:left="340"/>
      </w:pPr>
      <w:r/>
      <w:r>
        <w:rPr>
          <w:sz w:val="22"/>
        </w:rPr>
        <w:t>HERALDO PRESS accuse réception sous 48 heures ouvrées.</w:t>
      </w:r>
    </w:p>
    <w:p>
      <w:pPr>
        <w:pStyle w:val="ListBullet"/>
        <w:spacing w:after="60"/>
        <w:ind w:left="340"/>
      </w:pPr>
      <w:r/>
      <w:r>
        <w:rPr>
          <w:sz w:val="22"/>
        </w:rPr>
        <w:t>Une instruction préliminaire est conduite par l'équipe Customer Success dans les 7 jours.</w:t>
      </w:r>
    </w:p>
    <w:p>
      <w:pPr>
        <w:pStyle w:val="ListBullet"/>
        <w:spacing w:after="60"/>
        <w:ind w:left="340"/>
      </w:pPr>
      <w:r/>
      <w:r>
        <w:rPr>
          <w:sz w:val="22"/>
        </w:rPr>
        <w:t>Les cas simples (malentendu, erreur ponctuelle) sont traités à ce stade.</w:t>
      </w:r>
    </w:p>
    <w:p>
      <w:pPr>
        <w:pStyle w:val="ListBullet"/>
        <w:spacing w:after="60"/>
        <w:ind w:left="340"/>
      </w:pPr>
      <w:r/>
      <w:r>
        <w:rPr>
          <w:sz w:val="22"/>
        </w:rPr>
        <w:t>Les cas graves ou récurrents sont transmis au Comité éditorial paritaire.</w:t>
      </w:r>
    </w:p>
    <w:p>
      <w:pPr>
        <w:spacing w:before="160" w:after="40"/>
      </w:pPr>
      <w:r>
        <w:rPr>
          <w:b/>
          <w:color w:val="B8862E"/>
          <w:sz w:val="22"/>
        </w:rPr>
        <w:t>12.3 Contradictoire</w:t>
      </w:r>
    </w:p>
    <w:p>
      <w:pPr>
        <w:pStyle w:val="ListBullet"/>
        <w:spacing w:after="60"/>
        <w:ind w:left="340"/>
      </w:pPr>
      <w:r/>
      <w:r>
        <w:rPr>
          <w:sz w:val="22"/>
        </w:rPr>
        <w:t>La personne visée par le signalement est informée et peut présenter sa position par écrit sous 15 jours.</w:t>
      </w:r>
    </w:p>
    <w:p>
      <w:pPr>
        <w:pStyle w:val="ListBullet"/>
        <w:spacing w:after="60"/>
        <w:ind w:left="340"/>
      </w:pPr>
      <w:r/>
      <w:r>
        <w:rPr>
          <w:sz w:val="22"/>
        </w:rPr>
        <w:t>Elle peut être entendue en audition par le Comité si elle le demande.</w:t>
      </w:r>
    </w:p>
    <w:p>
      <w:pPr>
        <w:pStyle w:val="ListBullet"/>
        <w:spacing w:after="60"/>
        <w:ind w:left="340"/>
      </w:pPr>
      <w:r/>
      <w:r>
        <w:rPr>
          <w:sz w:val="22"/>
        </w:rPr>
        <w:t>Elle peut être accompagnée d'un conseil de son choix.</w:t>
      </w:r>
    </w:p>
    <w:p>
      <w:pPr>
        <w:spacing w:before="160" w:after="40"/>
      </w:pPr>
      <w:r>
        <w:rPr>
          <w:b/>
          <w:color w:val="B8862E"/>
          <w:sz w:val="22"/>
        </w:rPr>
        <w:t>12.4 Décision et sanction</w:t>
      </w:r>
    </w:p>
    <w:p>
      <w:pPr>
        <w:pStyle w:val="ListBullet"/>
        <w:spacing w:after="60"/>
        <w:ind w:left="340"/>
      </w:pPr>
      <w:r/>
      <w:r>
        <w:rPr>
          <w:sz w:val="22"/>
        </w:rPr>
        <w:t>Le Comité rend une décision motivée dans un délai de 60 jours après saisine.</w:t>
      </w:r>
    </w:p>
    <w:p>
      <w:pPr>
        <w:pStyle w:val="ListBullet"/>
        <w:spacing w:after="60"/>
        <w:ind w:left="340"/>
      </w:pPr>
      <w:r/>
      <w:r>
        <w:rPr>
          <w:sz w:val="22"/>
        </w:rPr>
        <w:t>Les sanctions possibles vont de l'avertissement simple à la révocation définitive de l'accès à la plateforme.</w:t>
      </w:r>
    </w:p>
    <w:p>
      <w:pPr>
        <w:pStyle w:val="ListBullet"/>
        <w:spacing w:after="60"/>
        <w:ind w:left="340"/>
      </w:pPr>
      <w:r/>
      <w:r>
        <w:rPr>
          <w:sz w:val="22"/>
        </w:rPr>
        <w:t>La décision est communiquée aux parties et peut faire l'objet d'un recours unique auprès du Conseil d'administration de HERALDO PRESS.</w:t>
      </w:r>
    </w:p>
    <w:p>
      <w:pPr>
        <w:spacing w:before="280" w:after="80"/>
      </w:pPr>
      <w:r>
        <w:rPr>
          <w:rFonts w:ascii="Calibri" w:hAnsi="Calibri"/>
          <w:b/>
          <w:color w:val="0A2540"/>
          <w:sz w:val="26"/>
        </w:rPr>
        <w:t>Article 13 — Évolution de la charte</w:t>
      </w:r>
    </w:p>
    <w:p>
      <w:pPr>
        <w:spacing w:after="120" w:line="300" w:lineRule="auto"/>
        <w:jc w:val="both"/>
      </w:pPr>
      <w:r>
        <w:rPr>
          <w:b w:val="0"/>
          <w:i w:val="0"/>
          <w:sz w:val="22"/>
        </w:rPr>
        <w:t>La présente charte peut évoluer pour s'adapter aux changements du contexte réglementaire, aux nouvelles pratiques du secteur, ou aux enseignements tirés de son application. Toute modification substantielle :</w:t>
      </w:r>
    </w:p>
    <w:p>
      <w:pPr>
        <w:pStyle w:val="ListBullet"/>
        <w:spacing w:after="60"/>
        <w:ind w:left="340"/>
      </w:pPr>
      <w:r/>
      <w:r>
        <w:rPr>
          <w:sz w:val="22"/>
        </w:rPr>
        <w:t>Est proposée au Comité éditorial paritaire pour avis préalable.</w:t>
      </w:r>
    </w:p>
    <w:p>
      <w:pPr>
        <w:pStyle w:val="ListBullet"/>
        <w:spacing w:after="60"/>
        <w:ind w:left="340"/>
      </w:pPr>
      <w:r/>
      <w:r>
        <w:rPr>
          <w:sz w:val="22"/>
        </w:rPr>
        <w:t>Est publiée 30 jours avant son entrée en vigueur sur la plateforme et par email à tous les utilisateurs.</w:t>
      </w:r>
    </w:p>
    <w:p>
      <w:pPr>
        <w:pStyle w:val="ListBullet"/>
        <w:spacing w:after="60"/>
        <w:ind w:left="340"/>
      </w:pPr>
      <w:r/>
      <w:r>
        <w:rPr>
          <w:sz w:val="22"/>
        </w:rPr>
        <w:t>Fait l'objet d'une consultation ouverte aux utilisateurs sur une durée minimale de 15 jours.</w:t>
      </w:r>
    </w:p>
    <w:p>
      <w:pPr>
        <w:pStyle w:val="ListBullet"/>
        <w:spacing w:after="60"/>
        <w:ind w:left="340"/>
      </w:pPr>
      <w:r/>
      <w:r>
        <w:rPr>
          <w:sz w:val="22"/>
        </w:rPr>
        <w:t>Est validée par le Comité avant application effective.</w:t>
      </w:r>
    </w:p>
    <w:p>
      <w:r>
        <w:br w:type="page"/>
      </w:r>
    </w:p>
    <w:p>
      <w:pPr>
        <w:spacing w:before="360" w:after="40"/>
        <w:pBdr>
          <w:bottom w:val="single" w:sz="12" w:color="B8862E"/>
        </w:pBdr>
      </w:pPr>
      <w:r>
        <w:rPr>
          <w:rFonts w:ascii="Georgia" w:hAnsi="Georgia"/>
          <w:b/>
          <w:color w:val="0A2540"/>
          <w:sz w:val="36"/>
        </w:rPr>
        <w:t>VI. DISPOSITIONS FINALES</w:t>
      </w:r>
    </w:p>
    <w:p>
      <w:pPr>
        <w:spacing w:after="120"/>
      </w:pPr>
    </w:p>
    <w:p>
      <w:pPr>
        <w:spacing w:before="280" w:after="80"/>
      </w:pPr>
      <w:r>
        <w:rPr>
          <w:rFonts w:ascii="Calibri" w:hAnsi="Calibri"/>
          <w:b/>
          <w:color w:val="0A2540"/>
          <w:sz w:val="26"/>
        </w:rPr>
        <w:t>Article 14 — Acceptation</w:t>
      </w:r>
    </w:p>
    <w:p>
      <w:pPr>
        <w:spacing w:after="120" w:line="300" w:lineRule="auto"/>
        <w:jc w:val="both"/>
      </w:pPr>
      <w:r>
        <w:rPr>
          <w:b w:val="0"/>
          <w:i w:val="0"/>
          <w:sz w:val="22"/>
        </w:rPr>
        <w:t>L'utilisation de HERALDO PRESS par tout utilisateur (institution, journaliste, agence, partenaire) vaut acceptation pleine et entière de la présente charte. L'acceptation est formalisée par :</w:t>
      </w:r>
    </w:p>
    <w:p>
      <w:pPr>
        <w:pStyle w:val="ListBullet"/>
        <w:spacing w:after="60"/>
        <w:ind w:left="340"/>
      </w:pPr>
      <w:r/>
      <w:r>
        <w:rPr>
          <w:sz w:val="22"/>
        </w:rPr>
        <w:t>Pour les institutions : une case à cocher explicite lors de la souscription, avec archivage horodaté de la validation.</w:t>
      </w:r>
    </w:p>
    <w:p>
      <w:pPr>
        <w:pStyle w:val="ListBullet"/>
        <w:spacing w:after="60"/>
        <w:ind w:left="340"/>
      </w:pPr>
      <w:r/>
      <w:r>
        <w:rPr>
          <w:sz w:val="22"/>
        </w:rPr>
        <w:t>Pour les journalistes : une case à cocher explicite lors de l'accréditation, avec archivage horodaté.</w:t>
      </w:r>
    </w:p>
    <w:p>
      <w:pPr>
        <w:pStyle w:val="ListBullet"/>
        <w:spacing w:after="60"/>
        <w:ind w:left="340"/>
      </w:pPr>
      <w:r/>
      <w:r>
        <w:rPr>
          <w:sz w:val="22"/>
        </w:rPr>
        <w:t>Pour les agences : une mention dans le contrat signé avec HERALDO PRESS.</w:t>
      </w:r>
    </w:p>
    <w:p>
      <w:pPr>
        <w:spacing w:before="280" w:after="80"/>
      </w:pPr>
      <w:r>
        <w:rPr>
          <w:rFonts w:ascii="Calibri" w:hAnsi="Calibri"/>
          <w:b/>
          <w:color w:val="0A2540"/>
          <w:sz w:val="26"/>
        </w:rPr>
        <w:t>Article 15 — Intégration à la relation contractuelle</w:t>
      </w:r>
    </w:p>
    <w:p>
      <w:pPr>
        <w:spacing w:after="120" w:line="300" w:lineRule="auto"/>
        <w:jc w:val="both"/>
      </w:pPr>
      <w:r>
        <w:rPr>
          <w:b w:val="0"/>
          <w:i w:val="0"/>
          <w:sz w:val="22"/>
        </w:rPr>
        <w:t>La présente charte constitue une annexe aux Conditions Générales d'Utilisation de HERALDO PRESS. Tout manquement à la charte est considéré comme un manquement aux CGU et peut entraîner la résiliation du contrat dans les conditions qui y sont définies.</w:t>
      </w:r>
    </w:p>
    <w:p>
      <w:pPr>
        <w:spacing w:before="280" w:after="80"/>
      </w:pPr>
      <w:r>
        <w:rPr>
          <w:rFonts w:ascii="Calibri" w:hAnsi="Calibri"/>
          <w:b/>
          <w:color w:val="0A2540"/>
          <w:sz w:val="26"/>
        </w:rPr>
        <w:t>Article 16 — Droit applicable</w:t>
      </w:r>
    </w:p>
    <w:p>
      <w:pPr>
        <w:spacing w:after="120" w:line="300" w:lineRule="auto"/>
        <w:jc w:val="both"/>
      </w:pPr>
      <w:r>
        <w:rPr>
          <w:b w:val="0"/>
          <w:i w:val="0"/>
          <w:sz w:val="22"/>
        </w:rPr>
        <w:t>La présente charte est régie par le droit ivoirien. Tout litige relatif à son application relève de la compétence exclusive des tribunaux d'Abidjan, sous réserve des procédures de médiation prévues dans la convention avec l'Association.</w:t>
      </w:r>
    </w:p>
    <w:p>
      <w:r>
        <w:br w:type="page"/>
      </w:r>
    </w:p>
    <w:p>
      <w:pPr>
        <w:spacing w:before="360" w:after="40"/>
        <w:pBdr>
          <w:bottom w:val="single" w:sz="12" w:color="B8862E"/>
        </w:pBdr>
      </w:pPr>
      <w:r>
        <w:rPr>
          <w:rFonts w:ascii="Georgia" w:hAnsi="Georgia"/>
          <w:b/>
          <w:color w:val="0A2540"/>
          <w:sz w:val="36"/>
        </w:rPr>
        <w:t>SIGNATURES ET ADOPTION</w:t>
      </w:r>
    </w:p>
    <w:p>
      <w:pPr>
        <w:spacing w:after="120"/>
      </w:pPr>
    </w:p>
    <w:p>
      <w:pPr>
        <w:spacing w:after="120" w:line="300" w:lineRule="auto"/>
        <w:jc w:val="left"/>
      </w:pPr>
      <w:r>
        <w:rPr>
          <w:b w:val="0"/>
          <w:i w:val="0"/>
          <w:sz w:val="22"/>
        </w:rPr>
        <w:t>La présente charte a été adoptée après consultation du Comité éditorial paritaire, en date du [date], et entre en vigueur le [date d'entrée en vigueur].</w:t>
      </w:r>
    </w:p>
    <w:p>
      <w:pPr>
        <w:spacing w:after="120" w:line="300" w:lineRule="auto"/>
        <w:jc w:val="left"/>
      </w:pPr>
      <w:r>
        <w:rPr>
          <w:b w:val="0"/>
          <w:i w:val="0"/>
          <w:sz w:val="22"/>
        </w:rPr>
      </w:r>
    </w:p>
    <w:tbl>
      <w:tblPr>
        <w:tblW w:type="auto" w:w="0"/>
        <w:jc w:val="center"/>
        <w:tblLook w:firstColumn="1" w:firstRow="1" w:lastColumn="0" w:lastRow="0" w:noHBand="0" w:noVBand="1" w:val="04A0"/>
      </w:tblPr>
      <w:tblGrid>
        <w:gridCol w:w="4873"/>
        <w:gridCol w:w="4873"/>
      </w:tblGrid>
      <w:tr>
        <w:tc>
          <w:tcPr>
            <w:tcW w:type="dxa" w:w="4535"/>
            <w:shd w:val="clear" w:color="auto" w:fill="0A2540"/>
            <w:tcMar>
              <w:top w:w="120" w:type="dxa"/>
              <w:bottom w:w="120" w:type="dxa"/>
              <w:left w:w="140" w:type="dxa"/>
              <w:right w:w="140" w:type="dxa"/>
            </w:tcMar>
            <w:vAlign w:val="center"/>
          </w:tcPr>
          <w:p>
            <w:pPr>
              <w:jc w:val="left"/>
            </w:pPr>
            <w:r/>
            <w:r>
              <w:rPr>
                <w:b/>
                <w:color w:val="FFFFFF"/>
                <w:sz w:val="20"/>
              </w:rPr>
              <w:t>Pour HERALDO PRESS</w:t>
            </w:r>
          </w:p>
        </w:tc>
        <w:tc>
          <w:tcPr>
            <w:tcW w:type="dxa" w:w="4535"/>
            <w:shd w:val="clear" w:color="auto" w:fill="0A2540"/>
            <w:tcMar>
              <w:top w:w="120" w:type="dxa"/>
              <w:bottom w:w="120" w:type="dxa"/>
              <w:left w:w="140" w:type="dxa"/>
              <w:right w:w="140" w:type="dxa"/>
            </w:tcMar>
            <w:vAlign w:val="center"/>
          </w:tcPr>
          <w:p>
            <w:pPr>
              <w:jc w:val="left"/>
            </w:pPr>
            <w:r/>
            <w:r>
              <w:rPr>
                <w:b/>
                <w:color w:val="FFFFFF"/>
                <w:sz w:val="20"/>
              </w:rPr>
              <w:t>Pour l'Association partenaire</w:t>
            </w:r>
          </w:p>
        </w:tc>
      </w:tr>
      <w:tr>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[Prénom NOM]</w:t>
              <w:br/>
              <w:br/>
              <w:t>Directeur Général</w:t>
              <w:br/>
              <w:br/>
              <w:br/>
              <w:t>Signature et cachet :</w:t>
              <w:br/>
              <w:br/>
              <w:br/>
              <w:br/>
              <w:br/>
            </w:r>
          </w:p>
        </w:tc>
        <w:tc>
          <w:tcPr>
            <w:tcW w:type="dxa" w:w="4535"/>
            <w:tcMar>
              <w:top w:w="80" w:type="dxa"/>
              <w:bottom w:w="80" w:type="dxa"/>
              <w:left w:w="140" w:type="dxa"/>
              <w:right w:w="140" w:type="dxa"/>
            </w:tcMar>
            <w:vAlign w:val="center"/>
            <w:tcBorders>
              <w:top w:sz="4" w:color="D5DAE0" w:val="single"/>
              <w:left w:sz="4" w:color="D5DAE0" w:val="single"/>
              <w:bottom w:sz="4" w:color="D5DAE0" w:val="single"/>
              <w:right w:sz="4" w:color="D5DAE0" w:val="single"/>
            </w:tcBorders>
          </w:tcPr>
          <w:p>
            <w:r/>
            <w:r>
              <w:rPr>
                <w:sz w:val="20"/>
              </w:rPr>
              <w:t>[Prénom NOM]</w:t>
              <w:br/>
              <w:br/>
              <w:t>Président(e) de l'ADPJ</w:t>
              <w:br/>
              <w:br/>
              <w:br/>
              <w:t>Signature et cachet :</w:t>
              <w:br/>
              <w:br/>
              <w:br/>
              <w:br/>
              <w:br/>
            </w:r>
          </w:p>
        </w:tc>
      </w:tr>
    </w:tbl>
    <w:p>
      <w:pPr>
        <w:spacing w:after="80"/>
      </w:pPr>
    </w:p>
    <w:p>
      <w:pPr>
        <w:spacing w:after="120" w:line="300" w:lineRule="auto"/>
        <w:jc w:val="left"/>
      </w:pPr>
      <w:r>
        <w:rPr>
          <w:b w:val="0"/>
          <w:i w:val="0"/>
          <w:sz w:val="22"/>
        </w:rPr>
      </w:r>
    </w:p>
    <w:p>
      <w:pPr>
        <w:spacing w:after="120" w:line="300" w:lineRule="auto"/>
        <w:jc w:val="left"/>
      </w:pPr>
      <w:r>
        <w:rPr>
          <w:b w:val="0"/>
          <w:i w:val="0"/>
          <w:sz w:val="22"/>
        </w:rPr>
      </w:r>
    </w:p>
    <w:tbl>
      <w:tblPr>
        <w:tblW w:type="auto" w:w="0"/>
        <w:tblLook w:firstColumn="1" w:firstRow="1" w:lastColumn="0" w:lastRow="0" w:noHBand="0" w:noVBand="1" w:val="04A0"/>
      </w:tblPr>
      <w:tblGrid>
        <w:gridCol w:w="9746"/>
      </w:tblGrid>
      <w:tr>
        <w:tc>
          <w:tcPr>
            <w:tcW w:type="dxa" w:w="9746"/>
            <w:tcBorders>
              <w:top w:sz="4" w:color="E8ECF0" w:val="single"/>
              <w:left w:sz="36" w:color="B8862E" w:val="single"/>
              <w:bottom w:sz="4" w:color="E8ECF0" w:val="single"/>
              <w:right w:sz="4" w:color="E8ECF0" w:val="single"/>
            </w:tcBorders>
            <w:shd w:val="clear" w:color="auto" w:fill="F7F9FB"/>
            <w:vAlign w:val="center"/>
            <w:tcMar>
              <w:top w:w="120" w:type="dxa"/>
              <w:bottom w:w="120" w:type="dxa"/>
              <w:left w:w="240" w:type="dxa"/>
              <w:right w:w="160" w:type="dxa"/>
            </w:tcMar>
          </w:tcPr>
          <w:p>
            <w:r/>
            <w:r>
              <w:rPr>
                <w:i/>
                <w:color w:val="0A2540"/>
                <w:sz w:val="22"/>
              </w:rPr>
              <w:t>Cette charte n'est pas un document de plus. C'est l'expression de notre compréhension de la responsabilité qu'implique notre activité. Nous ne sommes pas simplement un éditeur de logiciel. Nous sommes un acteur de l'écosystème médiatique ouest-africain, et nous nous engageons à y agir avec la rigueur éthique que mérite cette responsabilité. Ce document est notre promesse. Nous le tiendrons.</w:t>
            </w:r>
          </w:p>
        </w:tc>
      </w:tr>
    </w:tbl>
    <w:p>
      <w:pPr>
        <w:spacing w:after="40"/>
      </w:pPr>
    </w:p>
    <w:p>
      <w:pPr>
        <w:spacing w:after="120" w:line="300" w:lineRule="auto"/>
        <w:jc w:val="left"/>
      </w:pPr>
      <w:r>
        <w:rPr>
          <w:b w:val="0"/>
          <w:i w:val="0"/>
          <w:sz w:val="22"/>
        </w:rPr>
      </w:r>
    </w:p>
    <w:p>
      <w:pPr>
        <w:spacing w:after="120" w:line="300" w:lineRule="auto"/>
        <w:jc w:val="center"/>
      </w:pPr>
      <w:r>
        <w:rPr>
          <w:b w:val="0"/>
          <w:i/>
          <w:color w:val="B8862E"/>
          <w:sz w:val="28"/>
        </w:rPr>
        <w:t>«   Votre message, notre mission.   »</w:t>
      </w:r>
    </w:p>
    <w:p>
      <w:pPr>
        <w:spacing w:after="120" w:line="300" w:lineRule="auto"/>
        <w:jc w:val="center"/>
      </w:pPr>
      <w:r>
        <w:rPr>
          <w:b w:val="0"/>
          <w:i/>
          <w:color w:val="5A6470"/>
          <w:sz w:val="22"/>
        </w:rPr>
        <w:t>Et quand il s'agit de déontologie : nos règles claires, nos engagements tenus.</w:t>
      </w:r>
    </w:p>
    <w:p>
      <w:pPr>
        <w:spacing w:after="120" w:line="300" w:lineRule="auto"/>
        <w:jc w:val="left"/>
      </w:pPr>
      <w:r>
        <w:rPr>
          <w:b w:val="0"/>
          <w:i w:val="0"/>
          <w:sz w:val="22"/>
        </w:rPr>
      </w:r>
    </w:p>
    <w:p>
      <w:pPr>
        <w:spacing w:after="120" w:line="300" w:lineRule="auto"/>
        <w:jc w:val="center"/>
      </w:pPr>
      <w:r>
        <w:rPr>
          <w:b w:val="0"/>
          <w:i w:val="0"/>
          <w:color w:val="5A6470"/>
          <w:sz w:val="18"/>
        </w:rPr>
        <w:t>HERALDO PRESS — Charte éditoriale et déontologique — Version 1.0 — Avril 2026</w:t>
      </w:r>
    </w:p>
    <w:sectPr w:rsidR="00FC693F" w:rsidRPr="0006063C" w:rsidSect="00034616">
      <w:headerReference w:type="default" r:id="rId10"/>
      <w:footerReference w:type="default" r:id="rId11"/>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Votre message, notre mission. »  —  Document confidentiel  —  Avril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A6470"/>
        <w:sz w:val="16"/>
      </w:rPr>
      <w:t>HERALDO PRESS  |  Charte éditoriale et déontologique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