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3600000" cy="1101000"/>
            <wp:docPr id="1" name="Picture 1"/>
            <wp:cNvGraphicFramePr>
              <a:graphicFrameLocks noChangeAspect="1"/>
            </wp:cNvGraphicFramePr>
            <a:graphic>
              <a:graphicData uri="http://schemas.openxmlformats.org/drawingml/2006/picture">
                <pic:pic>
                  <pic:nvPicPr>
                    <pic:cNvPr id="0" name="logo_principal.png"/>
                    <pic:cNvPicPr/>
                  </pic:nvPicPr>
                  <pic:blipFill>
                    <a:blip r:embed="rId9"/>
                    <a:stretch>
                      <a:fillRect/>
                    </a:stretch>
                  </pic:blipFill>
                  <pic:spPr>
                    <a:xfrm>
                      <a:off x="0" y="0"/>
                      <a:ext cx="3600000" cy="1101000"/>
                    </a:xfrm>
                    <a:prstGeom prst="rect"/>
                  </pic:spPr>
                </pic:pic>
              </a:graphicData>
            </a:graphic>
          </wp:inline>
        </w:drawing>
      </w:r>
    </w:p>
    <w:p/>
    <w:p/>
    <w:p/>
    <w:p>
      <w:pPr>
        <w:spacing w:after="120"/>
        <w:jc w:val="center"/>
      </w:pPr>
      <w:r>
        <w:rPr>
          <w:rFonts w:ascii="Calibri" w:hAnsi="Calibri"/>
          <w:b/>
          <w:color w:val="B8862E"/>
          <w:sz w:val="28"/>
        </w:rPr>
        <w:t>DOCUMENT DE PRÉSENTATION STRATÉGIQUE</w:t>
      </w:r>
    </w:p>
    <w:p>
      <w:pPr>
        <w:spacing w:after="240"/>
        <w:jc w:val="center"/>
      </w:pPr>
      <w:r>
        <w:rPr>
          <w:rFonts w:ascii="Georgia" w:hAnsi="Georgia"/>
          <w:b/>
          <w:color w:val="0A2540"/>
          <w:sz w:val="56"/>
        </w:rPr>
        <w:t>HERALDO PRESS</w:t>
      </w:r>
    </w:p>
    <w:p>
      <w:pPr>
        <w:spacing w:after="720"/>
        <w:jc w:val="center"/>
      </w:pPr>
      <w:r>
        <w:rPr>
          <w:i/>
          <w:color w:val="5A6470"/>
          <w:sz w:val="26"/>
        </w:rPr>
        <w:t>Note de synthèse exécutive</w:t>
      </w:r>
    </w:p>
    <w:p>
      <w:pPr>
        <w:jc w:val="center"/>
      </w:pPr>
      <w:r>
        <w:rPr>
          <w:color w:val="B8862E"/>
          <w:sz w:val="28"/>
        </w:rPr>
        <w:t>— • —</w:t>
      </w:r>
    </w:p>
    <w:p/>
    <w:p/>
    <w:p/>
    <w:p/>
    <w:p/>
    <w:p/>
    <w:p/>
    <w:p/>
    <w:p>
      <w:pPr>
        <w:jc w:val="center"/>
      </w:pPr>
      <w:r>
        <w:rPr>
          <w:color w:val="5A6470"/>
          <w:sz w:val="18"/>
        </w:rPr>
        <w:t>Réf : HP-NSE-2026-001</w:t>
        <w:br/>
        <w:t>Avril 2026  |  Abidjan, Côte d'Ivoire</w:t>
        <w:br/>
        <w:br/>
        <w:t>Document confidentiel — Usage interne et investisseurs</w:t>
      </w:r>
    </w:p>
    <w:p>
      <w:r>
        <w:br w:type="page"/>
      </w:r>
    </w:p>
    <w:p>
      <w:pPr>
        <w:spacing w:before="360" w:after="40"/>
        <w:pBdr>
          <w:bottom w:val="single" w:sz="12" w:color="B8862E"/>
        </w:pBdr>
      </w:pPr>
      <w:r>
        <w:rPr>
          <w:rFonts w:ascii="Georgia" w:hAnsi="Georgia"/>
          <w:b/>
          <w:color w:val="0A2540"/>
          <w:sz w:val="36"/>
        </w:rPr>
        <w:t>1. EN UNE PHRASE</w:t>
      </w:r>
    </w:p>
    <w:p>
      <w:pPr>
        <w:spacing w:after="120"/>
      </w:pP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HERALDO PRESS est l'infrastructure numérique de référence de la communication médiatique institutionnelle en Afrique de l'Ouest — diffusion de communiqués, salles de presse virtuelles, fonds de couverture digitalisé, amplification 360° et mesure d'impact, opérée depuis Abidjan avec une ambition régionale UEMOA.</w:t>
            </w:r>
          </w:p>
        </w:tc>
      </w:tr>
    </w:tbl>
    <w:p>
      <w:pPr>
        <w:spacing w:after="40"/>
      </w:pPr>
    </w:p>
    <w:p>
      <w:pPr>
        <w:spacing w:before="360" w:after="40"/>
        <w:pBdr>
          <w:bottom w:val="single" w:sz="12" w:color="B8862E"/>
        </w:pBdr>
      </w:pPr>
      <w:r>
        <w:rPr>
          <w:rFonts w:ascii="Georgia" w:hAnsi="Georgia"/>
          <w:b/>
          <w:color w:val="0A2540"/>
          <w:sz w:val="36"/>
        </w:rPr>
        <w:t>2. LE CONSTAT MARCHÉ</w:t>
      </w:r>
    </w:p>
    <w:p>
      <w:pPr>
        <w:spacing w:after="120"/>
      </w:pPr>
    </w:p>
    <w:p>
      <w:pPr>
        <w:spacing w:after="120" w:line="300" w:lineRule="auto"/>
        <w:jc w:val="both"/>
      </w:pPr>
      <w:r>
        <w:rPr>
          <w:b w:val="0"/>
          <w:i w:val="0"/>
          <w:sz w:val="22"/>
        </w:rPr>
        <w:t>La relation presse en Côte d'Ivoire fonctionne aujourd'hui sur des pratiques informelles héritées de plusieurs décennies : carnets d'adresses personnels, per diems versés en cash avant les événements, absence de traçabilité, aucune mesure d'impact. Aucune plateforme numérique structurée n'existe pour gérer de bout en bout la communication médiatique des institutions publiques et privées.</w:t>
      </w:r>
    </w:p>
    <w:p>
      <w:pPr>
        <w:spacing w:before="280" w:after="80"/>
      </w:pPr>
      <w:r>
        <w:rPr>
          <w:rFonts w:ascii="Calibri" w:hAnsi="Calibri"/>
          <w:b/>
          <w:color w:val="0A2540"/>
          <w:sz w:val="26"/>
        </w:rPr>
        <w:t>Trois dysfonctionnements majeurs</w:t>
      </w:r>
    </w:p>
    <w:p>
      <w:pPr>
        <w:pStyle w:val="ListBullet"/>
        <w:spacing w:after="60"/>
        <w:ind w:left="340"/>
      </w:pPr>
      <w:r/>
      <w:r>
        <w:rPr>
          <w:sz w:val="22"/>
        </w:rPr>
        <w:t>Opacité financière — Les per diems versés en cash (estimés à 2-10 M FCFA/an gaspillés par grande institution) ne laissent aucune trace et ne garantissent ni publication ni résultat.</w:t>
      </w:r>
    </w:p>
    <w:p>
      <w:pPr>
        <w:pStyle w:val="ListBullet"/>
        <w:spacing w:after="60"/>
        <w:ind w:left="340"/>
      </w:pPr>
      <w:r/>
      <w:r>
        <w:rPr>
          <w:sz w:val="22"/>
        </w:rPr>
        <w:t>Résultats aléatoires — Le taux de publication des communiqués envoyés par voie informelle est inférieur à 20%.</w:t>
      </w:r>
    </w:p>
    <w:p>
      <w:pPr>
        <w:pStyle w:val="ListBullet"/>
        <w:spacing w:after="60"/>
        <w:ind w:left="340"/>
      </w:pPr>
      <w:r/>
      <w:r>
        <w:rPr>
          <w:sz w:val="22"/>
        </w:rPr>
        <w:t>Absence de mesure — Les institutions ne peuvent pas justifier leur budget communication par des indicateurs de portée.</w:t>
      </w:r>
    </w:p>
    <w:p>
      <w:pPr>
        <w:spacing w:before="280" w:after="80"/>
      </w:pPr>
      <w:r>
        <w:rPr>
          <w:rFonts w:ascii="Calibri" w:hAnsi="Calibri"/>
          <w:b/>
          <w:color w:val="0A2540"/>
          <w:sz w:val="26"/>
        </w:rPr>
        <w:t>Pourquoi maintenant</w:t>
      </w:r>
    </w:p>
    <w:p>
      <w:pPr>
        <w:spacing w:after="120" w:line="300" w:lineRule="auto"/>
        <w:jc w:val="both"/>
      </w:pPr>
      <w:r>
        <w:rPr>
          <w:b w:val="0"/>
          <w:i w:val="0"/>
          <w:sz w:val="22"/>
        </w:rPr>
        <w:t>La pénétration du Mobile Money en Côte d'Ivoire (Wave, Orange Money, MTN MoMo, Moov Money) est massive, l'Instruction BCEAO 001-01-2024 sécurise les transactions, et les institutions publiques (mairies, ministères, élus) sont sous pression de rendre compte de leurs dépenses de communication. Les conditions techniques, réglementaires et politiques sont alignées.</w:t>
      </w:r>
    </w:p>
    <w:p>
      <w:pPr>
        <w:spacing w:before="360" w:after="40"/>
        <w:pBdr>
          <w:bottom w:val="single" w:sz="12" w:color="B8862E"/>
        </w:pBdr>
      </w:pPr>
      <w:r>
        <w:rPr>
          <w:rFonts w:ascii="Georgia" w:hAnsi="Georgia"/>
          <w:b/>
          <w:color w:val="0A2540"/>
          <w:sz w:val="36"/>
        </w:rPr>
        <w:t>3. LA SOLUTION HERALDO PRESS</w:t>
      </w:r>
    </w:p>
    <w:p>
      <w:pPr>
        <w:spacing w:after="120"/>
      </w:pPr>
    </w:p>
    <w:p>
      <w:pPr>
        <w:spacing w:after="120" w:line="300" w:lineRule="auto"/>
        <w:jc w:val="both"/>
      </w:pPr>
      <w:r>
        <w:rPr>
          <w:b w:val="0"/>
          <w:i w:val="0"/>
          <w:sz w:val="22"/>
        </w:rPr>
        <w:t>Une plateforme SaaS B2B en architecture 6 modules, accessible en web et via une application téléchargeable HÉRALDO Journaliste (iOS, Android, Windows, Mac).</w:t>
      </w:r>
    </w:p>
    <w:tbl>
      <w:tblPr>
        <w:tblW w:type="auto" w:w="0"/>
        <w:jc w:val="center"/>
        <w:tblLook w:firstColumn="1" w:firstRow="1" w:lastColumn="0" w:lastRow="0" w:noHBand="0" w:noVBand="1" w:val="04A0"/>
      </w:tblPr>
      <w:tblGrid>
        <w:gridCol w:w="3249"/>
        <w:gridCol w:w="3249"/>
        <w:gridCol w:w="3249"/>
      </w:tblGrid>
      <w:tr>
        <w:tc>
          <w:tcPr>
            <w:tcW w:type="dxa" w:w="1814"/>
            <w:shd w:val="clear" w:color="auto" w:fill="0A2540"/>
            <w:tcMar>
              <w:top w:w="120" w:type="dxa"/>
              <w:bottom w:w="120" w:type="dxa"/>
              <w:left w:w="140" w:type="dxa"/>
              <w:right w:w="140" w:type="dxa"/>
            </w:tcMar>
            <w:vAlign w:val="center"/>
          </w:tcPr>
          <w:p>
            <w:pPr>
              <w:jc w:val="left"/>
            </w:pPr>
            <w:r/>
            <w:r>
              <w:rPr>
                <w:b/>
                <w:color w:val="FFFFFF"/>
                <w:sz w:val="20"/>
              </w:rPr>
              <w:t>Module</w:t>
            </w:r>
          </w:p>
        </w:tc>
        <w:tc>
          <w:tcPr>
            <w:tcW w:type="dxa" w:w="3118"/>
            <w:shd w:val="clear" w:color="auto" w:fill="0A2540"/>
            <w:tcMar>
              <w:top w:w="120" w:type="dxa"/>
              <w:bottom w:w="120" w:type="dxa"/>
              <w:left w:w="140" w:type="dxa"/>
              <w:right w:w="140" w:type="dxa"/>
            </w:tcMar>
            <w:vAlign w:val="center"/>
          </w:tcPr>
          <w:p>
            <w:pPr>
              <w:jc w:val="left"/>
            </w:pPr>
            <w:r/>
            <w:r>
              <w:rPr>
                <w:b/>
                <w:color w:val="FFFFFF"/>
                <w:sz w:val="20"/>
              </w:rPr>
              <w:t>Fonction</w:t>
            </w:r>
          </w:p>
        </w:tc>
        <w:tc>
          <w:tcPr>
            <w:tcW w:type="dxa" w:w="4252"/>
            <w:shd w:val="clear" w:color="auto" w:fill="0A2540"/>
            <w:tcMar>
              <w:top w:w="120" w:type="dxa"/>
              <w:bottom w:w="120" w:type="dxa"/>
              <w:left w:w="140" w:type="dxa"/>
              <w:right w:w="140" w:type="dxa"/>
            </w:tcMar>
            <w:vAlign w:val="center"/>
          </w:tcPr>
          <w:p>
            <w:pPr>
              <w:jc w:val="left"/>
            </w:pPr>
            <w:r/>
            <w:r>
              <w:rPr>
                <w:b/>
                <w:color w:val="FFFFFF"/>
                <w:sz w:val="20"/>
              </w:rPr>
              <w:t>Promesse client</w:t>
            </w:r>
          </w:p>
        </w:tc>
      </w:tr>
      <w:tr>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ÉMISSION</w:t>
            </w:r>
          </w:p>
        </w:tc>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Diffusion de communiqués multi-format</w:t>
            </w:r>
          </w:p>
        </w:tc>
        <w:tc>
          <w:tcPr>
            <w:tcW w:type="dxa" w:w="425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 formats (presse, web, social) générés en 1 saisie</w:t>
            </w:r>
          </w:p>
        </w:tc>
      </w:tr>
      <w:tr>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AGORA</w:t>
            </w:r>
          </w:p>
        </w:tc>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Salles de presse virtuelles brandées</w:t>
            </w:r>
          </w:p>
        </w:tc>
        <w:tc>
          <w:tcPr>
            <w:tcW w:type="dxa" w:w="425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Le point de presse à 75 000 FCFA au lieu de 500 000 – 2 M FCFA</w:t>
            </w:r>
          </w:p>
        </w:tc>
      </w:tr>
      <w:tr>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RÉSEAU</w:t>
            </w:r>
          </w:p>
        </w:tc>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Base de données journalistes accrédités</w:t>
            </w:r>
          </w:p>
        </w:tc>
        <w:tc>
          <w:tcPr>
            <w:tcW w:type="dxa" w:w="425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Ciblage qualifié — actif stratégique central</w:t>
            </w:r>
          </w:p>
        </w:tc>
      </w:tr>
      <w:tr>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FCM</w:t>
            </w:r>
          </w:p>
        </w:tc>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Fonds de Couverture Média digitalisé</w:t>
            </w:r>
          </w:p>
        </w:tc>
        <w:tc>
          <w:tcPr>
            <w:tcW w:type="dxa" w:w="425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Le journaliste est payé à la preuve de publication, pas avant</w:t>
            </w:r>
          </w:p>
        </w:tc>
      </w:tr>
      <w:tr>
        <w:tc>
          <w:tcPr>
            <w:tcW w:type="dxa" w:w="181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AMPLIFICATION</w:t>
            </w:r>
          </w:p>
        </w:tc>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Diffusion 360° (Facebook, WhatsApp, influenceurs)</w:t>
            </w:r>
          </w:p>
        </w:tc>
        <w:tc>
          <w:tcPr>
            <w:tcW w:type="dxa" w:w="425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Portée digitale en plus de la presse traditionnelle</w:t>
            </w:r>
          </w:p>
        </w:tc>
      </w:tr>
      <w:tr>
        <w:tc>
          <w:tcPr>
            <w:tcW w:type="dxa" w:w="181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IMPACT</w:t>
            </w:r>
          </w:p>
        </w:tc>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Mesure et reporting temps réel</w:t>
            </w:r>
          </w:p>
        </w:tc>
        <w:tc>
          <w:tcPr>
            <w:tcW w:type="dxa" w:w="425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Justification chiffrée du budget communication</w:t>
            </w:r>
          </w:p>
        </w:tc>
      </w:tr>
    </w:tbl>
    <w:p>
      <w:pPr>
        <w:spacing w:after="80"/>
      </w:pPr>
    </w:p>
    <w:p>
      <w:pPr>
        <w:spacing w:before="280" w:after="80"/>
      </w:pPr>
      <w:r>
        <w:rPr>
          <w:rFonts w:ascii="Calibri" w:hAnsi="Calibri"/>
          <w:b/>
          <w:color w:val="0A2540"/>
          <w:sz w:val="26"/>
        </w:rPr>
        <w:t>L'innovation centrale : le FCM</w:t>
      </w:r>
    </w:p>
    <w:p>
      <w:pPr>
        <w:spacing w:after="120" w:line="300" w:lineRule="auto"/>
        <w:jc w:val="both"/>
      </w:pPr>
      <w:r>
        <w:rPr>
          <w:b w:val="0"/>
          <w:i w:val="0"/>
          <w:sz w:val="22"/>
        </w:rPr>
        <w:t>Le Fonds de Couverture Média transforme le per diem cash en mécanisme digital. L'institution ne verse plus d'argent avant l'événement : elle alimente un fonds, fixe les conditions (montant par article, par reportage, par post), les journalistes acceptent en connaissance de cause, soumettent leur preuve après publication, et le paiement est automatique via Mobile Money après validation. Commission HERALDO PRESS : 15%.</w:t>
      </w:r>
    </w:p>
    <w:p>
      <w:r>
        <w:br w:type="page"/>
      </w:r>
    </w:p>
    <w:p>
      <w:pPr>
        <w:spacing w:before="360" w:after="40"/>
        <w:pBdr>
          <w:bottom w:val="single" w:sz="12" w:color="B8862E"/>
        </w:pBdr>
      </w:pPr>
      <w:r>
        <w:rPr>
          <w:rFonts w:ascii="Georgia" w:hAnsi="Georgia"/>
          <w:b/>
          <w:color w:val="0A2540"/>
          <w:sz w:val="36"/>
        </w:rPr>
        <w:t>4. MARCHÉ ET OPPORTUNITÉ</w:t>
      </w:r>
    </w:p>
    <w:p>
      <w:pPr>
        <w:spacing w:after="120"/>
      </w:pPr>
    </w:p>
    <w:p>
      <w:pPr>
        <w:spacing w:before="280" w:after="80"/>
      </w:pPr>
      <w:r>
        <w:rPr>
          <w:rFonts w:ascii="Calibri" w:hAnsi="Calibri"/>
          <w:b/>
          <w:color w:val="0A2540"/>
          <w:sz w:val="26"/>
        </w:rPr>
        <w:t>Marché adressable Côte d'Ivoire</w:t>
      </w:r>
    </w:p>
    <w:tbl>
      <w:tblPr>
        <w:tblW w:type="auto" w:w="0"/>
        <w:tblLook w:firstColumn="1" w:firstRow="1" w:lastColumn="0" w:lastRow="0" w:noHBand="0" w:noVBand="1" w:val="04A0"/>
      </w:tblPr>
      <w:tblGrid>
        <w:gridCol w:w="3249"/>
        <w:gridCol w:w="3249"/>
        <w:gridCol w:w="3249"/>
      </w:tblGrid>
      <w:tr>
        <w:tc>
          <w:tcPr>
            <w:tcW w:type="dxa" w:w="3249"/>
            <w:shd w:val="clear" w:color="auto" w:fill="F7F9FB"/>
            <w:tcMar>
              <w:top w:w="180" w:type="dxa"/>
              <w:bottom w:w="40" w:type="dxa"/>
              <w:left w:w="80" w:type="dxa"/>
              <w:right w:w="80" w:type="dxa"/>
            </w:tcMar>
            <w:vAlign w:val="center"/>
            <w:tcBorders>
              <w:top w:sz="4" w:color="B8862E" w:val="single"/>
              <w:left w:sz="4" w:color="B8862E" w:val="single"/>
              <w:bottom w:sz="4" w:color="B8862E" w:val="single"/>
              <w:right w:sz="4" w:color="B8862E" w:val="single"/>
            </w:tcBorders>
          </w:tcPr>
          <w:p>
            <w:pPr>
              <w:jc w:val="center"/>
            </w:pPr>
            <w:r/>
            <w:r>
              <w:rPr>
                <w:rFonts w:ascii="Georgia" w:hAnsi="Georgia"/>
                <w:b/>
                <w:color w:val="0A2540"/>
                <w:sz w:val="40"/>
              </w:rPr>
              <w:t>221 M</w:t>
            </w:r>
          </w:p>
        </w:tc>
        <w:tc>
          <w:tcPr>
            <w:tcW w:type="dxa" w:w="3249"/>
            <w:shd w:val="clear" w:color="auto" w:fill="F7F9FB"/>
            <w:tcMar>
              <w:top w:w="180" w:type="dxa"/>
              <w:bottom w:w="40" w:type="dxa"/>
              <w:left w:w="80" w:type="dxa"/>
              <w:right w:w="80" w:type="dxa"/>
            </w:tcMar>
            <w:vAlign w:val="center"/>
            <w:tcBorders>
              <w:top w:sz="4" w:color="B8862E" w:val="single"/>
              <w:left w:sz="4" w:color="B8862E" w:val="single"/>
              <w:bottom w:sz="4" w:color="B8862E" w:val="single"/>
              <w:right w:sz="4" w:color="B8862E" w:val="single"/>
            </w:tcBorders>
          </w:tcPr>
          <w:p>
            <w:pPr>
              <w:jc w:val="center"/>
            </w:pPr>
            <w:r/>
            <w:r>
              <w:rPr>
                <w:rFonts w:ascii="Georgia" w:hAnsi="Georgia"/>
                <w:b/>
                <w:color w:val="0A2540"/>
                <w:sz w:val="40"/>
              </w:rPr>
              <w:t>577+</w:t>
            </w:r>
          </w:p>
        </w:tc>
        <w:tc>
          <w:tcPr>
            <w:tcW w:type="dxa" w:w="3249"/>
            <w:shd w:val="clear" w:color="auto" w:fill="F7F9FB"/>
            <w:tcMar>
              <w:top w:w="180" w:type="dxa"/>
              <w:bottom w:w="40" w:type="dxa"/>
              <w:left w:w="80" w:type="dxa"/>
              <w:right w:w="80" w:type="dxa"/>
            </w:tcMar>
            <w:vAlign w:val="center"/>
            <w:tcBorders>
              <w:top w:sz="4" w:color="B8862E" w:val="single"/>
              <w:left w:sz="4" w:color="B8862E" w:val="single"/>
              <w:bottom w:sz="4" w:color="B8862E" w:val="single"/>
              <w:right w:sz="4" w:color="B8862E" w:val="single"/>
            </w:tcBorders>
          </w:tcPr>
          <w:p>
            <w:pPr>
              <w:jc w:val="center"/>
            </w:pPr>
            <w:r/>
            <w:r>
              <w:rPr>
                <w:rFonts w:ascii="Georgia" w:hAnsi="Georgia"/>
                <w:b/>
                <w:color w:val="0A2540"/>
                <w:sz w:val="40"/>
              </w:rPr>
              <w:t>10%</w:t>
            </w:r>
          </w:p>
        </w:tc>
      </w:tr>
      <w:tr>
        <w:tc>
          <w:tcPr>
            <w:tcW w:type="dxa" w:w="3249"/>
            <w:shd w:val="clear" w:color="auto" w:fill="F7F9FB"/>
            <w:tcMar>
              <w:top w:w="20" w:type="dxa"/>
              <w:bottom w:w="180" w:type="dxa"/>
              <w:left w:w="80" w:type="dxa"/>
              <w:right w:w="80" w:type="dxa"/>
            </w:tcMar>
            <w:tcBorders>
              <w:top w:sz="4" w:color="B8862E" w:val="single"/>
              <w:left w:sz="4" w:color="B8862E" w:val="single"/>
              <w:bottom w:sz="4" w:color="B8862E" w:val="single"/>
              <w:right w:sz="4" w:color="B8862E" w:val="single"/>
            </w:tcBorders>
          </w:tcPr>
          <w:p>
            <w:pPr>
              <w:jc w:val="center"/>
            </w:pPr>
            <w:r/>
            <w:r>
              <w:rPr>
                <w:color w:val="5A6470"/>
                <w:sz w:val="18"/>
              </w:rPr>
              <w:t>FCFA/an</w:t>
              <w:br/>
              <w:t>Marché adressable CI</w:t>
            </w:r>
          </w:p>
        </w:tc>
        <w:tc>
          <w:tcPr>
            <w:tcW w:type="dxa" w:w="3249"/>
            <w:shd w:val="clear" w:color="auto" w:fill="F7F9FB"/>
            <w:tcMar>
              <w:top w:w="20" w:type="dxa"/>
              <w:bottom w:w="180" w:type="dxa"/>
              <w:left w:w="80" w:type="dxa"/>
              <w:right w:w="80" w:type="dxa"/>
            </w:tcMar>
            <w:tcBorders>
              <w:top w:sz="4" w:color="B8862E" w:val="single"/>
              <w:left w:sz="4" w:color="B8862E" w:val="single"/>
              <w:bottom w:sz="4" w:color="B8862E" w:val="single"/>
              <w:right w:sz="4" w:color="B8862E" w:val="single"/>
            </w:tcBorders>
          </w:tcPr>
          <w:p>
            <w:pPr>
              <w:jc w:val="center"/>
            </w:pPr>
            <w:r/>
            <w:r>
              <w:rPr>
                <w:color w:val="5A6470"/>
                <w:sz w:val="18"/>
              </w:rPr>
              <w:t>Cibles institutionnelles</w:t>
              <w:br/>
              <w:t>(mairies, élus, ministères)</w:t>
            </w:r>
          </w:p>
        </w:tc>
        <w:tc>
          <w:tcPr>
            <w:tcW w:type="dxa" w:w="3249"/>
            <w:shd w:val="clear" w:color="auto" w:fill="F7F9FB"/>
            <w:tcMar>
              <w:top w:w="20" w:type="dxa"/>
              <w:bottom w:w="180" w:type="dxa"/>
              <w:left w:w="80" w:type="dxa"/>
              <w:right w:w="80" w:type="dxa"/>
            </w:tcMar>
            <w:tcBorders>
              <w:top w:sz="4" w:color="B8862E" w:val="single"/>
              <w:left w:sz="4" w:color="B8862E" w:val="single"/>
              <w:bottom w:sz="4" w:color="B8862E" w:val="single"/>
              <w:right w:sz="4" w:color="B8862E" w:val="single"/>
            </w:tcBorders>
          </w:tcPr>
          <w:p>
            <w:pPr>
              <w:jc w:val="center"/>
            </w:pPr>
            <w:r/>
            <w:r>
              <w:rPr>
                <w:color w:val="5A6470"/>
                <w:sz w:val="18"/>
              </w:rPr>
              <w:t>Pénétration cible</w:t>
              <w:br/>
              <w:t>à 18 mois</w:t>
            </w:r>
          </w:p>
        </w:tc>
      </w:tr>
    </w:tbl>
    <w:p>
      <w:pPr>
        <w:spacing w:after="120"/>
      </w:pPr>
    </w:p>
    <w:tbl>
      <w:tblPr>
        <w:tblW w:type="auto" w:w="0"/>
        <w:jc w:val="center"/>
        <w:tblLook w:firstColumn="1" w:firstRow="1" w:lastColumn="0" w:lastRow="0" w:noHBand="0" w:noVBand="1" w:val="04A0"/>
      </w:tblPr>
      <w:tblGrid>
        <w:gridCol w:w="1949"/>
        <w:gridCol w:w="1949"/>
        <w:gridCol w:w="1949"/>
        <w:gridCol w:w="1949"/>
        <w:gridCol w:w="1949"/>
      </w:tblGrid>
      <w:tr>
        <w:tc>
          <w:tcPr>
            <w:tcW w:type="dxa" w:w="2268"/>
            <w:shd w:val="clear" w:color="auto" w:fill="0A2540"/>
            <w:tcMar>
              <w:top w:w="120" w:type="dxa"/>
              <w:bottom w:w="120" w:type="dxa"/>
              <w:left w:w="140" w:type="dxa"/>
              <w:right w:w="140" w:type="dxa"/>
            </w:tcMar>
            <w:vAlign w:val="center"/>
          </w:tcPr>
          <w:p>
            <w:pPr>
              <w:jc w:val="left"/>
            </w:pPr>
            <w:r/>
            <w:r>
              <w:rPr>
                <w:b/>
                <w:color w:val="FFFFFF"/>
                <w:sz w:val="20"/>
              </w:rPr>
              <w:t>Segment</w:t>
            </w:r>
          </w:p>
        </w:tc>
        <w:tc>
          <w:tcPr>
            <w:tcW w:type="dxa" w:w="907"/>
            <w:shd w:val="clear" w:color="auto" w:fill="0A2540"/>
            <w:tcMar>
              <w:top w:w="120" w:type="dxa"/>
              <w:bottom w:w="120" w:type="dxa"/>
              <w:left w:w="140" w:type="dxa"/>
              <w:right w:w="140" w:type="dxa"/>
            </w:tcMar>
            <w:vAlign w:val="center"/>
          </w:tcPr>
          <w:p>
            <w:pPr>
              <w:jc w:val="left"/>
            </w:pPr>
            <w:r/>
            <w:r>
              <w:rPr>
                <w:b/>
                <w:color w:val="FFFFFF"/>
                <w:sz w:val="20"/>
              </w:rPr>
              <w:t>Volume</w:t>
            </w:r>
          </w:p>
        </w:tc>
        <w:tc>
          <w:tcPr>
            <w:tcW w:type="dxa" w:w="2268"/>
            <w:shd w:val="clear" w:color="auto" w:fill="0A2540"/>
            <w:tcMar>
              <w:top w:w="120" w:type="dxa"/>
              <w:bottom w:w="120" w:type="dxa"/>
              <w:left w:w="140" w:type="dxa"/>
              <w:right w:w="140" w:type="dxa"/>
            </w:tcMar>
            <w:vAlign w:val="center"/>
          </w:tcPr>
          <w:p>
            <w:pPr>
              <w:jc w:val="left"/>
            </w:pPr>
            <w:r/>
            <w:r>
              <w:rPr>
                <w:b/>
                <w:color w:val="FFFFFF"/>
                <w:sz w:val="20"/>
              </w:rPr>
              <w:t>Formule</w:t>
            </w:r>
          </w:p>
        </w:tc>
        <w:tc>
          <w:tcPr>
            <w:tcW w:type="dxa" w:w="1587"/>
            <w:shd w:val="clear" w:color="auto" w:fill="0A2540"/>
            <w:tcMar>
              <w:top w:w="120" w:type="dxa"/>
              <w:bottom w:w="120" w:type="dxa"/>
              <w:left w:w="140" w:type="dxa"/>
              <w:right w:w="140" w:type="dxa"/>
            </w:tcMar>
            <w:vAlign w:val="center"/>
          </w:tcPr>
          <w:p>
            <w:pPr>
              <w:jc w:val="left"/>
            </w:pPr>
            <w:r/>
            <w:r>
              <w:rPr>
                <w:b/>
                <w:color w:val="FFFFFF"/>
                <w:sz w:val="20"/>
              </w:rPr>
              <w:t>Prix annuel</w:t>
            </w:r>
          </w:p>
        </w:tc>
        <w:tc>
          <w:tcPr>
            <w:tcW w:type="dxa" w:w="2041"/>
            <w:shd w:val="clear" w:color="auto" w:fill="0A2540"/>
            <w:tcMar>
              <w:top w:w="120" w:type="dxa"/>
              <w:bottom w:w="120" w:type="dxa"/>
              <w:left w:w="140" w:type="dxa"/>
              <w:right w:w="140" w:type="dxa"/>
            </w:tcMar>
            <w:vAlign w:val="center"/>
          </w:tcPr>
          <w:p>
            <w:pPr>
              <w:jc w:val="left"/>
            </w:pPr>
            <w:r/>
            <w:r>
              <w:rPr>
                <w:b/>
                <w:color w:val="FFFFFF"/>
                <w:sz w:val="20"/>
              </w:rPr>
              <w:t>ARR potentiel</w:t>
            </w:r>
          </w:p>
        </w:tc>
      </w:tr>
      <w:tr>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Communes / Mairies</w:t>
            </w:r>
          </w:p>
        </w:tc>
        <w:tc>
          <w:tcPr>
            <w:tcW w:type="dxa" w:w="90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201</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HERALDO MAIRIE</w:t>
            </w:r>
          </w:p>
        </w:tc>
        <w:tc>
          <w:tcPr>
            <w:tcW w:type="dxa" w:w="158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480 000 FCFA</w:t>
            </w:r>
          </w:p>
        </w:tc>
        <w:tc>
          <w:tcPr>
            <w:tcW w:type="dxa" w:w="204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96,5 M FCFA</w:t>
            </w:r>
          </w:p>
        </w:tc>
      </w:tr>
      <w:tr>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Députés / Conseillers</w:t>
            </w:r>
          </w:p>
        </w:tc>
        <w:tc>
          <w:tcPr>
            <w:tcW w:type="dxa" w:w="90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255</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HERALDO ÉLU</w:t>
            </w:r>
          </w:p>
        </w:tc>
        <w:tc>
          <w:tcPr>
            <w:tcW w:type="dxa" w:w="158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240 000 FCFA</w:t>
            </w:r>
          </w:p>
        </w:tc>
        <w:tc>
          <w:tcPr>
            <w:tcW w:type="dxa" w:w="204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61,2 M FCFA</w:t>
            </w:r>
          </w:p>
        </w:tc>
      </w:tr>
      <w:tr>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Conseils régionaux</w:t>
            </w:r>
          </w:p>
        </w:tc>
        <w:tc>
          <w:tcPr>
            <w:tcW w:type="dxa" w:w="90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31</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HERALDO INSTITUTION</w:t>
            </w:r>
          </w:p>
        </w:tc>
        <w:tc>
          <w:tcPr>
            <w:tcW w:type="dxa" w:w="158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900 000 FCFA</w:t>
            </w:r>
          </w:p>
        </w:tc>
        <w:tc>
          <w:tcPr>
            <w:tcW w:type="dxa" w:w="204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27,9 M FCFA</w:t>
            </w:r>
          </w:p>
        </w:tc>
      </w:tr>
      <w:tr>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Ministères / Directions</w:t>
            </w:r>
          </w:p>
        </w:tc>
        <w:tc>
          <w:tcPr>
            <w:tcW w:type="dxa" w:w="90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40+</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HERALDO INSTITUTION</w:t>
            </w:r>
          </w:p>
        </w:tc>
        <w:tc>
          <w:tcPr>
            <w:tcW w:type="dxa" w:w="158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900 000 FCFA</w:t>
            </w:r>
          </w:p>
        </w:tc>
        <w:tc>
          <w:tcPr>
            <w:tcW w:type="dxa" w:w="204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36,0 M FCFA</w:t>
            </w:r>
          </w:p>
        </w:tc>
      </w:tr>
      <w:tr>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Agences RP</w:t>
            </w:r>
          </w:p>
        </w:tc>
        <w:tc>
          <w:tcPr>
            <w:tcW w:type="dxa" w:w="90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50+</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HERALDO AGENCE</w:t>
            </w:r>
          </w:p>
        </w:tc>
        <w:tc>
          <w:tcPr>
            <w:tcW w:type="dxa" w:w="158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720 000 FCFA</w:t>
            </w:r>
          </w:p>
        </w:tc>
        <w:tc>
          <w:tcPr>
            <w:tcW w:type="dxa" w:w="204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36,0 M FCFA</w:t>
            </w:r>
          </w:p>
        </w:tc>
      </w:tr>
      <w:tr>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TOTAL CI</w:t>
            </w:r>
          </w:p>
        </w:tc>
        <w:tc>
          <w:tcPr>
            <w:tcW w:type="dxa" w:w="90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577+</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t>
            </w:r>
          </w:p>
        </w:tc>
        <w:tc>
          <w:tcPr>
            <w:tcW w:type="dxa" w:w="158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t>
            </w:r>
          </w:p>
        </w:tc>
        <w:tc>
          <w:tcPr>
            <w:tcW w:type="dxa" w:w="204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221,0 M FCFA</w:t>
            </w:r>
          </w:p>
        </w:tc>
      </w:tr>
    </w:tbl>
    <w:p>
      <w:pPr>
        <w:spacing w:after="80"/>
      </w:pPr>
    </w:p>
    <w:p>
      <w:pPr>
        <w:spacing w:before="280" w:after="80"/>
      </w:pPr>
      <w:r>
        <w:rPr>
          <w:rFonts w:ascii="Calibri" w:hAnsi="Calibri"/>
          <w:b/>
          <w:color w:val="0A2540"/>
          <w:sz w:val="26"/>
        </w:rPr>
        <w:t>Extension UEMOA</w:t>
      </w:r>
    </w:p>
    <w:p>
      <w:pPr>
        <w:spacing w:after="120" w:line="300" w:lineRule="auto"/>
        <w:jc w:val="left"/>
      </w:pPr>
      <w:r>
        <w:rPr>
          <w:b w:val="0"/>
          <w:i w:val="0"/>
          <w:sz w:val="22"/>
        </w:rPr>
        <w:t>Phase 2 (à partir du M18) : déploiement séquencé sur le Sénégal (552 communes), le Burkina Faso (351 communes), le Mali (703 communes) puis le Bénin (77 communes). À 5% de pénétration sur ces 4 pays, l'ARR additionnel se chiffre à 42,6 M FCFA.</w:t>
      </w:r>
    </w:p>
    <w:p>
      <w:pPr>
        <w:spacing w:before="360" w:after="40"/>
        <w:pBdr>
          <w:bottom w:val="single" w:sz="12" w:color="B8862E"/>
        </w:pBdr>
      </w:pPr>
      <w:r>
        <w:rPr>
          <w:rFonts w:ascii="Georgia" w:hAnsi="Georgia"/>
          <w:b/>
          <w:color w:val="0A2540"/>
          <w:sz w:val="36"/>
        </w:rPr>
        <w:t>5. MODÈLE ÉCONOMIQUE</w:t>
      </w:r>
    </w:p>
    <w:p>
      <w:pPr>
        <w:spacing w:after="120"/>
      </w:pPr>
    </w:p>
    <w:p>
      <w:pPr>
        <w:spacing w:after="120" w:line="300" w:lineRule="auto"/>
        <w:jc w:val="left"/>
      </w:pPr>
      <w:r>
        <w:rPr>
          <w:b/>
          <w:i w:val="0"/>
          <w:sz w:val="22"/>
        </w:rPr>
        <w:t>Trois axes de revenus complémentaires :</w:t>
      </w:r>
    </w:p>
    <w:p>
      <w:pPr>
        <w:pStyle w:val="ListBullet"/>
        <w:spacing w:after="60"/>
        <w:ind w:left="340"/>
      </w:pPr>
      <w:r/>
      <w:r>
        <w:rPr>
          <w:sz w:val="22"/>
        </w:rPr>
        <w:t>Récurrents — Abonnements annuels par formule (ÉLU, MAIRIE, INSTITUTION, AGENCE) : prévisibilité du revenu et fidélisation.</w:t>
      </w:r>
    </w:p>
    <w:p>
      <w:pPr>
        <w:pStyle w:val="ListBullet"/>
        <w:spacing w:after="60"/>
        <w:ind w:left="340"/>
      </w:pPr>
      <w:r/>
      <w:r>
        <w:rPr>
          <w:sz w:val="22"/>
        </w:rPr>
        <w:t>À l'acte — Salles AGORA (75 k / 150 k / 350 k FCFA), studio éditorial (15 k FCFA/communiqué), Pack Amplification 360° (35 k FCFA), Pack Influenceurs (50–200 k FCFA).</w:t>
      </w:r>
    </w:p>
    <w:p>
      <w:pPr>
        <w:pStyle w:val="ListBullet"/>
        <w:spacing w:after="60"/>
        <w:ind w:left="340"/>
      </w:pPr>
      <w:r/>
      <w:r>
        <w:rPr>
          <w:sz w:val="22"/>
        </w:rPr>
        <w:t>Variable — Commission de 15% sur chaque transaction FCM validée. Revenu scalable qui croît avec le volume d'événements organisés.</w:t>
      </w:r>
    </w:p>
    <w:p>
      <w:pPr>
        <w:spacing w:before="360" w:after="40"/>
        <w:pBdr>
          <w:bottom w:val="single" w:sz="12" w:color="B8862E"/>
        </w:pBdr>
      </w:pPr>
      <w:r>
        <w:rPr>
          <w:rFonts w:ascii="Georgia" w:hAnsi="Georgia"/>
          <w:b/>
          <w:color w:val="0A2540"/>
          <w:sz w:val="36"/>
        </w:rPr>
        <w:t>6. PROJECTIONS FINANCIÈRES — 3 ANS</w:t>
      </w:r>
    </w:p>
    <w:p>
      <w:pPr>
        <w:spacing w:after="120"/>
      </w:pPr>
    </w:p>
    <w:tbl>
      <w:tblPr>
        <w:tblW w:type="auto" w:w="0"/>
        <w:jc w:val="center"/>
        <w:tblLook w:firstColumn="1" w:firstRow="1" w:lastColumn="0" w:lastRow="0" w:noHBand="0" w:noVBand="1" w:val="04A0"/>
      </w:tblPr>
      <w:tblGrid>
        <w:gridCol w:w="2436"/>
        <w:gridCol w:w="2436"/>
        <w:gridCol w:w="2436"/>
        <w:gridCol w:w="2436"/>
      </w:tblGrid>
      <w:tr>
        <w:tc>
          <w:tcPr>
            <w:tcW w:type="dxa" w:w="3118"/>
            <w:shd w:val="clear" w:color="auto" w:fill="0A2540"/>
            <w:tcMar>
              <w:top w:w="120" w:type="dxa"/>
              <w:bottom w:w="120" w:type="dxa"/>
              <w:left w:w="140" w:type="dxa"/>
              <w:right w:w="140" w:type="dxa"/>
            </w:tcMar>
            <w:vAlign w:val="center"/>
          </w:tcPr>
          <w:p>
            <w:pPr>
              <w:jc w:val="left"/>
            </w:pPr>
            <w:r/>
            <w:r>
              <w:rPr>
                <w:b/>
                <w:color w:val="FFFFFF"/>
                <w:sz w:val="20"/>
              </w:rPr>
              <w:t>Indicateur</w:t>
            </w:r>
          </w:p>
        </w:tc>
        <w:tc>
          <w:tcPr>
            <w:tcW w:type="dxa" w:w="1984"/>
            <w:shd w:val="clear" w:color="auto" w:fill="0A2540"/>
            <w:tcMar>
              <w:top w:w="120" w:type="dxa"/>
              <w:bottom w:w="120" w:type="dxa"/>
              <w:left w:w="140" w:type="dxa"/>
              <w:right w:w="140" w:type="dxa"/>
            </w:tcMar>
            <w:vAlign w:val="center"/>
          </w:tcPr>
          <w:p>
            <w:pPr>
              <w:jc w:val="left"/>
            </w:pPr>
            <w:r/>
            <w:r>
              <w:rPr>
                <w:b/>
                <w:color w:val="FFFFFF"/>
                <w:sz w:val="20"/>
              </w:rPr>
              <w:t>An 1</w:t>
            </w:r>
          </w:p>
        </w:tc>
        <w:tc>
          <w:tcPr>
            <w:tcW w:type="dxa" w:w="1984"/>
            <w:shd w:val="clear" w:color="auto" w:fill="0A2540"/>
            <w:tcMar>
              <w:top w:w="120" w:type="dxa"/>
              <w:bottom w:w="120" w:type="dxa"/>
              <w:left w:w="140" w:type="dxa"/>
              <w:right w:w="140" w:type="dxa"/>
            </w:tcMar>
            <w:vAlign w:val="center"/>
          </w:tcPr>
          <w:p>
            <w:pPr>
              <w:jc w:val="left"/>
            </w:pPr>
            <w:r/>
            <w:r>
              <w:rPr>
                <w:b/>
                <w:color w:val="FFFFFF"/>
                <w:sz w:val="20"/>
              </w:rPr>
              <w:t>An 2</w:t>
            </w:r>
          </w:p>
        </w:tc>
        <w:tc>
          <w:tcPr>
            <w:tcW w:type="dxa" w:w="1984"/>
            <w:shd w:val="clear" w:color="auto" w:fill="0A2540"/>
            <w:tcMar>
              <w:top w:w="120" w:type="dxa"/>
              <w:bottom w:w="120" w:type="dxa"/>
              <w:left w:w="140" w:type="dxa"/>
              <w:right w:w="140" w:type="dxa"/>
            </w:tcMar>
            <w:vAlign w:val="center"/>
          </w:tcPr>
          <w:p>
            <w:pPr>
              <w:jc w:val="left"/>
            </w:pPr>
            <w:r/>
            <w:r>
              <w:rPr>
                <w:b/>
                <w:color w:val="FFFFFF"/>
                <w:sz w:val="20"/>
              </w:rPr>
              <w:t>An 3</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Chiffre d'affaires</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27,3 M FCFA</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67,5 M FCFA</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127,8 M FCFA</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Charges totales</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22,8 M FCFA</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27,8 M FCFA</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39,9 M FCFA</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Résultat net</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+4,5 M FCFA</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+39,7 M FCFA</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+87,9 M FCFA</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Marge nette</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16,5%</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58,8%</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68,8%</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Clients institutionnels actifs</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~35</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~110</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~200</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Pénétration marché CI</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10%</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25%</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40%</w:t>
            </w:r>
          </w:p>
        </w:tc>
      </w:tr>
    </w:tbl>
    <w:p>
      <w:pPr>
        <w:spacing w:after="80"/>
      </w:pP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Le projet est rentable dès l'année 1 sur une base d'hypothèses conservatrices. Un partenariat actif avec l'Association des Directeurs de Publications et une traction commerciale supérieure aux prévisions peuvent significativement améliorer ces résultats.</w:t>
            </w:r>
          </w:p>
        </w:tc>
      </w:tr>
    </w:tbl>
    <w:p>
      <w:pPr>
        <w:spacing w:after="40"/>
      </w:pPr>
    </w:p>
    <w:p>
      <w:pPr>
        <w:spacing w:before="360" w:after="40"/>
        <w:pBdr>
          <w:bottom w:val="single" w:sz="12" w:color="B8862E"/>
        </w:pBdr>
      </w:pPr>
      <w:r>
        <w:rPr>
          <w:rFonts w:ascii="Georgia" w:hAnsi="Georgia"/>
          <w:b/>
          <w:color w:val="0A2540"/>
          <w:sz w:val="36"/>
        </w:rPr>
        <w:t>7. BESOIN DE FINANCEMENT</w:t>
      </w:r>
    </w:p>
    <w:p>
      <w:pPr>
        <w:spacing w:after="120"/>
      </w:pPr>
    </w:p>
    <w:p>
      <w:pPr>
        <w:spacing w:before="280" w:after="80"/>
      </w:pPr>
      <w:r>
        <w:rPr>
          <w:rFonts w:ascii="Calibri" w:hAnsi="Calibri"/>
          <w:b/>
          <w:color w:val="0A2540"/>
          <w:sz w:val="26"/>
        </w:rPr>
        <w:t>Investissement initial : 18 M FCFA</w:t>
      </w:r>
    </w:p>
    <w:tbl>
      <w:tblPr>
        <w:tblW w:type="auto" w:w="0"/>
        <w:jc w:val="center"/>
        <w:tblLook w:firstColumn="1" w:firstRow="1" w:lastColumn="0" w:lastRow="0" w:noHBand="0" w:noVBand="1" w:val="04A0"/>
      </w:tblPr>
      <w:tblGrid>
        <w:gridCol w:w="3249"/>
        <w:gridCol w:w="3249"/>
        <w:gridCol w:w="3249"/>
      </w:tblGrid>
      <w:tr>
        <w:tc>
          <w:tcPr>
            <w:tcW w:type="dxa" w:w="3118"/>
            <w:shd w:val="clear" w:color="auto" w:fill="0A2540"/>
            <w:tcMar>
              <w:top w:w="120" w:type="dxa"/>
              <w:bottom w:w="120" w:type="dxa"/>
              <w:left w:w="140" w:type="dxa"/>
              <w:right w:w="140" w:type="dxa"/>
            </w:tcMar>
            <w:vAlign w:val="center"/>
          </w:tcPr>
          <w:p>
            <w:pPr>
              <w:jc w:val="left"/>
            </w:pPr>
            <w:r/>
            <w:r>
              <w:rPr>
                <w:b/>
                <w:color w:val="FFFFFF"/>
                <w:sz w:val="20"/>
              </w:rPr>
              <w:t>Poste</w:t>
            </w:r>
          </w:p>
        </w:tc>
        <w:tc>
          <w:tcPr>
            <w:tcW w:type="dxa" w:w="1984"/>
            <w:shd w:val="clear" w:color="auto" w:fill="0A2540"/>
            <w:tcMar>
              <w:top w:w="120" w:type="dxa"/>
              <w:bottom w:w="120" w:type="dxa"/>
              <w:left w:w="140" w:type="dxa"/>
              <w:right w:w="140" w:type="dxa"/>
            </w:tcMar>
            <w:vAlign w:val="center"/>
          </w:tcPr>
          <w:p>
            <w:pPr>
              <w:jc w:val="left"/>
            </w:pPr>
            <w:r/>
            <w:r>
              <w:rPr>
                <w:b/>
                <w:color w:val="FFFFFF"/>
                <w:sz w:val="20"/>
              </w:rPr>
              <w:t>Montant</w:t>
            </w:r>
          </w:p>
        </w:tc>
        <w:tc>
          <w:tcPr>
            <w:tcW w:type="dxa" w:w="3969"/>
            <w:shd w:val="clear" w:color="auto" w:fill="0A2540"/>
            <w:tcMar>
              <w:top w:w="120" w:type="dxa"/>
              <w:bottom w:w="120" w:type="dxa"/>
              <w:left w:w="140" w:type="dxa"/>
              <w:right w:w="140" w:type="dxa"/>
            </w:tcMar>
            <w:vAlign w:val="center"/>
          </w:tcPr>
          <w:p>
            <w:pPr>
              <w:jc w:val="left"/>
            </w:pPr>
            <w:r/>
            <w:r>
              <w:rPr>
                <w:b/>
                <w:color w:val="FFFFFF"/>
                <w:sz w:val="20"/>
              </w:rPr>
              <w:t>Détail</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Développement plateforme MVP</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8 000 000 FCFA</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Web + App Android/iOS/Desktop + Back-office</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Infrastructure technique (12 mois)</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1 500 000 FCFA</w:t>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Cloud, CDN, WebRTC, SMS, stockage vidéo</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Constitution juridique</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800 000 FCFA</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Notaire, greffe, compte pro</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Fonds de roulement (6 mois)</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4 500 000 FCFA</w:t>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Salaires équipe + charges fixes</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Commercial et partenariats</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2 000 000 FCFA</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Déplacements, événements, démos</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Réserve stratégique (10%)</w:t>
            </w:r>
          </w:p>
        </w:tc>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1 200 000 FCFA</w:t>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Imprévus</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TOTAL</w:t>
            </w:r>
          </w:p>
        </w:tc>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18 000 000 FCFA</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t>
            </w:r>
          </w:p>
        </w:tc>
      </w:tr>
    </w:tbl>
    <w:p>
      <w:pPr>
        <w:spacing w:after="80"/>
      </w:pPr>
    </w:p>
    <w:p>
      <w:r>
        <w:br w:type="page"/>
      </w:r>
    </w:p>
    <w:p>
      <w:pPr>
        <w:spacing w:before="360" w:after="40"/>
        <w:pBdr>
          <w:bottom w:val="single" w:sz="12" w:color="B8862E"/>
        </w:pBdr>
      </w:pPr>
      <w:r>
        <w:rPr>
          <w:rFonts w:ascii="Georgia" w:hAnsi="Georgia"/>
          <w:b/>
          <w:color w:val="0A2540"/>
          <w:sz w:val="36"/>
        </w:rPr>
        <w:t>8. AVANTAGE COMPÉTITIF ET BARRIÈRES À L'ENTRÉE</w:t>
      </w:r>
    </w:p>
    <w:p>
      <w:pPr>
        <w:spacing w:after="120"/>
      </w:pPr>
    </w:p>
    <w:tbl>
      <w:tblPr>
        <w:tblW w:type="auto" w:w="0"/>
        <w:jc w:val="center"/>
        <w:tblLook w:firstColumn="1" w:firstRow="1" w:lastColumn="0" w:lastRow="0" w:noHBand="0" w:noVBand="1" w:val="04A0"/>
      </w:tblPr>
      <w:tblGrid>
        <w:gridCol w:w="3249"/>
        <w:gridCol w:w="3249"/>
        <w:gridCol w:w="3249"/>
      </w:tblGrid>
      <w:tr>
        <w:tc>
          <w:tcPr>
            <w:tcW w:type="dxa" w:w="2268"/>
            <w:shd w:val="clear" w:color="auto" w:fill="0A2540"/>
            <w:tcMar>
              <w:top w:w="120" w:type="dxa"/>
              <w:bottom w:w="120" w:type="dxa"/>
              <w:left w:w="140" w:type="dxa"/>
              <w:right w:w="140" w:type="dxa"/>
            </w:tcMar>
            <w:vAlign w:val="center"/>
          </w:tcPr>
          <w:p>
            <w:pPr>
              <w:jc w:val="left"/>
            </w:pPr>
            <w:r/>
            <w:r>
              <w:rPr>
                <w:b/>
                <w:color w:val="FFFFFF"/>
                <w:sz w:val="20"/>
              </w:rPr>
              <w:t>Concurrent actuel</w:t>
            </w:r>
          </w:p>
        </w:tc>
        <w:tc>
          <w:tcPr>
            <w:tcW w:type="dxa" w:w="2835"/>
            <w:shd w:val="clear" w:color="auto" w:fill="0A2540"/>
            <w:tcMar>
              <w:top w:w="120" w:type="dxa"/>
              <w:bottom w:w="120" w:type="dxa"/>
              <w:left w:w="140" w:type="dxa"/>
              <w:right w:w="140" w:type="dxa"/>
            </w:tcMar>
            <w:vAlign w:val="center"/>
          </w:tcPr>
          <w:p>
            <w:pPr>
              <w:jc w:val="left"/>
            </w:pPr>
            <w:r/>
            <w:r>
              <w:rPr>
                <w:b/>
                <w:color w:val="FFFFFF"/>
                <w:sz w:val="20"/>
              </w:rPr>
              <w:t>Sa limite</w:t>
            </w:r>
          </w:p>
        </w:tc>
        <w:tc>
          <w:tcPr>
            <w:tcW w:type="dxa" w:w="3969"/>
            <w:shd w:val="clear" w:color="auto" w:fill="0A2540"/>
            <w:tcMar>
              <w:top w:w="120" w:type="dxa"/>
              <w:bottom w:w="120" w:type="dxa"/>
              <w:left w:w="140" w:type="dxa"/>
              <w:right w:w="140" w:type="dxa"/>
            </w:tcMar>
            <w:vAlign w:val="center"/>
          </w:tcPr>
          <w:p>
            <w:pPr>
              <w:jc w:val="left"/>
            </w:pPr>
            <w:r/>
            <w:r>
              <w:rPr>
                <w:b/>
                <w:color w:val="FFFFFF"/>
                <w:sz w:val="20"/>
              </w:rPr>
              <w:t>Notre avantage</w:t>
            </w:r>
          </w:p>
        </w:tc>
      </w:tr>
      <w:tr>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Agences RP traditionnelles CI</w:t>
            </w:r>
          </w:p>
        </w:tc>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Carnet d'adresses, pas d'outil, pas de mesure</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Plateforme structurée + FCM + IMPACT + app journaliste</w:t>
            </w:r>
          </w:p>
        </w:tc>
      </w:tr>
      <w:tr>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WhatsApp groupes journalistes</w:t>
            </w:r>
          </w:p>
        </w:tc>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Aucune structure, aucun paiement, aucune certification</w:t>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AGORA brandée + FCM conditionné + accréditation</w:t>
            </w:r>
          </w:p>
        </w:tc>
      </w:tr>
      <w:tr>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Cision / Meltwater</w:t>
            </w:r>
          </w:p>
        </w:tc>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Inadaptés Afrique, coûts prohibitifs, pas de base CI</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Tarifs locaux + base CI + Mobile Money + UEMOA</w:t>
            </w:r>
          </w:p>
        </w:tc>
      </w:tr>
      <w:tr>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Zoom / Teams</w:t>
            </w:r>
          </w:p>
        </w:tc>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Pas de branding, pas de FCM, pas d'accréditation</w:t>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Salle brandée + accréditation + kit média post-event</w:t>
            </w:r>
          </w:p>
        </w:tc>
      </w:tr>
    </w:tbl>
    <w:p>
      <w:pPr>
        <w:spacing w:after="80"/>
      </w:pPr>
    </w:p>
    <w:p>
      <w:pPr>
        <w:spacing w:before="280" w:after="80"/>
      </w:pPr>
      <w:r>
        <w:rPr>
          <w:rFonts w:ascii="Calibri" w:hAnsi="Calibri"/>
          <w:b/>
          <w:color w:val="0A2540"/>
          <w:sz w:val="26"/>
        </w:rPr>
        <w:t>Trois barrières à l'entrée durables</w:t>
      </w:r>
    </w:p>
    <w:p>
      <w:pPr>
        <w:pStyle w:val="ListBullet"/>
        <w:spacing w:after="60"/>
        <w:ind w:left="340"/>
      </w:pPr>
      <w:r/>
      <w:r>
        <w:rPr>
          <w:sz w:val="22"/>
        </w:rPr>
        <w:t>Le partenariat fondateur avec l'Association des Directeurs de Publications des Journaux de Côte d'Ivoire — incopiable.</w:t>
      </w:r>
    </w:p>
    <w:p>
      <w:pPr>
        <w:pStyle w:val="ListBullet"/>
        <w:spacing w:after="60"/>
        <w:ind w:left="340"/>
      </w:pPr>
      <w:r/>
      <w:r>
        <w:rPr>
          <w:sz w:val="22"/>
        </w:rPr>
        <w:t>La base RÉSEAU des journalistes accrédités, qui s'enrichit en continu et devient un actif stratégique difficile à reproduire.</w:t>
      </w:r>
    </w:p>
    <w:p>
      <w:pPr>
        <w:pStyle w:val="ListBullet"/>
        <w:spacing w:after="60"/>
        <w:ind w:left="340"/>
      </w:pPr>
      <w:r/>
      <w:r>
        <w:rPr>
          <w:sz w:val="22"/>
        </w:rPr>
        <w:t>L'intégration profonde dans les workflows institutionnels — un outil utilisé quotidiennement, ancré, donc difficile à substituer.</w:t>
      </w:r>
    </w:p>
    <w:p>
      <w:pPr>
        <w:spacing w:before="360" w:after="40"/>
        <w:pBdr>
          <w:bottom w:val="single" w:sz="12" w:color="B8862E"/>
        </w:pBdr>
      </w:pPr>
      <w:r>
        <w:rPr>
          <w:rFonts w:ascii="Georgia" w:hAnsi="Georgia"/>
          <w:b/>
          <w:color w:val="0A2540"/>
          <w:sz w:val="36"/>
        </w:rPr>
        <w:t>9. FEUILLE DE ROUTE — JALONS CRITIQUES</w:t>
      </w:r>
    </w:p>
    <w:p>
      <w:pPr>
        <w:spacing w:after="120"/>
      </w:pPr>
    </w:p>
    <w:tbl>
      <w:tblPr>
        <w:tblW w:type="auto" w:w="0"/>
        <w:jc w:val="center"/>
        <w:tblLook w:firstColumn="1" w:firstRow="1" w:lastColumn="0" w:lastRow="0" w:noHBand="0" w:noVBand="1" w:val="04A0"/>
      </w:tblPr>
      <w:tblGrid>
        <w:gridCol w:w="4873"/>
        <w:gridCol w:w="4873"/>
      </w:tblGrid>
      <w:tr>
        <w:tc>
          <w:tcPr>
            <w:tcW w:type="dxa" w:w="1587"/>
            <w:shd w:val="clear" w:color="auto" w:fill="0A2540"/>
            <w:tcMar>
              <w:top w:w="120" w:type="dxa"/>
              <w:bottom w:w="120" w:type="dxa"/>
              <w:left w:w="140" w:type="dxa"/>
              <w:right w:w="140" w:type="dxa"/>
            </w:tcMar>
            <w:vAlign w:val="center"/>
          </w:tcPr>
          <w:p>
            <w:pPr>
              <w:jc w:val="left"/>
            </w:pPr>
            <w:r/>
            <w:r>
              <w:rPr>
                <w:b/>
                <w:color w:val="FFFFFF"/>
                <w:sz w:val="20"/>
              </w:rPr>
              <w:t>Échéance</w:t>
            </w:r>
          </w:p>
        </w:tc>
        <w:tc>
          <w:tcPr>
            <w:tcW w:type="dxa" w:w="7483"/>
            <w:shd w:val="clear" w:color="auto" w:fill="0A2540"/>
            <w:tcMar>
              <w:top w:w="120" w:type="dxa"/>
              <w:bottom w:w="120" w:type="dxa"/>
              <w:left w:w="140" w:type="dxa"/>
              <w:right w:w="140" w:type="dxa"/>
            </w:tcMar>
            <w:vAlign w:val="center"/>
          </w:tcPr>
          <w:p>
            <w:pPr>
              <w:jc w:val="left"/>
            </w:pPr>
            <w:r/>
            <w:r>
              <w:rPr>
                <w:b/>
                <w:color w:val="FFFFFF"/>
                <w:sz w:val="20"/>
              </w:rPr>
              <w:t>Jalon</w:t>
            </w:r>
          </w:p>
        </w:tc>
      </w:tr>
      <w:tr>
        <w:tc>
          <w:tcPr>
            <w:tcW w:type="dxa" w:w="158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J + 60</w:t>
            </w:r>
          </w:p>
        </w:tc>
        <w:tc>
          <w:tcPr>
            <w:tcW w:type="dxa" w:w="7483"/>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Constitution juridique + signature partenariat Association des Directeurs de Publications</w:t>
            </w:r>
          </w:p>
        </w:tc>
      </w:tr>
      <w:tr>
        <w:tc>
          <w:tcPr>
            <w:tcW w:type="dxa" w:w="158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J + 90</w:t>
            </w:r>
          </w:p>
        </w:tc>
        <w:tc>
          <w:tcPr>
            <w:tcW w:type="dxa" w:w="7483"/>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Recrutement CTO validé — démarrage développement MVP</w:t>
            </w:r>
          </w:p>
        </w:tc>
      </w:tr>
      <w:tr>
        <w:tc>
          <w:tcPr>
            <w:tcW w:type="dxa" w:w="158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J + 150</w:t>
            </w:r>
          </w:p>
        </w:tc>
        <w:tc>
          <w:tcPr>
            <w:tcW w:type="dxa" w:w="7483"/>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Livraison MVP web + première salle AGORA de démonstration</w:t>
            </w:r>
          </w:p>
        </w:tc>
      </w:tr>
      <w:tr>
        <w:tc>
          <w:tcPr>
            <w:tcW w:type="dxa" w:w="158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J + 180</w:t>
            </w:r>
          </w:p>
        </w:tc>
        <w:tc>
          <w:tcPr>
            <w:tcW w:type="dxa" w:w="7483"/>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Application HÉRALDO Journaliste publiée sur App Store et Google Play</w:t>
            </w:r>
          </w:p>
        </w:tc>
      </w:tr>
      <w:tr>
        <w:tc>
          <w:tcPr>
            <w:tcW w:type="dxa" w:w="158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J + 240</w:t>
            </w:r>
          </w:p>
        </w:tc>
        <w:tc>
          <w:tcPr>
            <w:tcW w:type="dxa" w:w="7483"/>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Premier client institutionnel payant signé (abonnement MAIRIE)</w:t>
            </w:r>
          </w:p>
        </w:tc>
      </w:tr>
      <w:tr>
        <w:tc>
          <w:tcPr>
            <w:tcW w:type="dxa" w:w="158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J + 365</w:t>
            </w:r>
          </w:p>
        </w:tc>
        <w:tc>
          <w:tcPr>
            <w:tcW w:type="dxa" w:w="7483"/>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22 M FCFA ARR — 30 médias accrédités — 100 salles AGORA organisées</w:t>
            </w:r>
          </w:p>
        </w:tc>
      </w:tr>
      <w:tr>
        <w:tc>
          <w:tcPr>
            <w:tcW w:type="dxa" w:w="158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J + 540</w:t>
            </w:r>
          </w:p>
        </w:tc>
        <w:tc>
          <w:tcPr>
            <w:tcW w:type="dxa" w:w="7483"/>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Lancement Sénégal opérationnel — premier client local Dakar</w:t>
            </w:r>
          </w:p>
        </w:tc>
      </w:tr>
      <w:tr>
        <w:tc>
          <w:tcPr>
            <w:tcW w:type="dxa" w:w="158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J + 730</w:t>
            </w:r>
          </w:p>
        </w:tc>
        <w:tc>
          <w:tcPr>
            <w:tcW w:type="dxa" w:w="7483"/>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HERALDO PRESS AFRICA présent dans 4 pays UEMOA — 80 M FCFA ARR</w:t>
            </w:r>
          </w:p>
        </w:tc>
      </w:tr>
    </w:tbl>
    <w:p>
      <w:pPr>
        <w:spacing w:after="80"/>
      </w:pPr>
    </w:p>
    <w:p>
      <w:pPr>
        <w:spacing w:before="360" w:after="40"/>
        <w:pBdr>
          <w:bottom w:val="single" w:sz="12" w:color="B8862E"/>
        </w:pBdr>
      </w:pPr>
      <w:r>
        <w:rPr>
          <w:rFonts w:ascii="Georgia" w:hAnsi="Georgia"/>
          <w:b/>
          <w:color w:val="0A2540"/>
          <w:sz w:val="36"/>
        </w:rPr>
        <w:t>10. ANALYSE DES RISQUES PRINCIPAUX</w:t>
      </w:r>
    </w:p>
    <w:p>
      <w:pPr>
        <w:spacing w:after="120"/>
      </w:pPr>
    </w:p>
    <w:tbl>
      <w:tblPr>
        <w:tblW w:type="auto" w:w="0"/>
        <w:jc w:val="center"/>
        <w:tblLook w:firstColumn="1" w:firstRow="1" w:lastColumn="0" w:lastRow="0" w:noHBand="0" w:noVBand="1" w:val="04A0"/>
      </w:tblPr>
      <w:tblGrid>
        <w:gridCol w:w="2436"/>
        <w:gridCol w:w="2436"/>
        <w:gridCol w:w="2436"/>
        <w:gridCol w:w="2436"/>
      </w:tblGrid>
      <w:tr>
        <w:tc>
          <w:tcPr>
            <w:tcW w:type="dxa" w:w="2551"/>
            <w:shd w:val="clear" w:color="auto" w:fill="0A2540"/>
            <w:tcMar>
              <w:top w:w="120" w:type="dxa"/>
              <w:bottom w:w="120" w:type="dxa"/>
              <w:left w:w="140" w:type="dxa"/>
              <w:right w:w="140" w:type="dxa"/>
            </w:tcMar>
            <w:vAlign w:val="center"/>
          </w:tcPr>
          <w:p>
            <w:pPr>
              <w:jc w:val="left"/>
            </w:pPr>
            <w:r/>
            <w:r>
              <w:rPr>
                <w:b/>
                <w:color w:val="FFFFFF"/>
                <w:sz w:val="20"/>
              </w:rPr>
              <w:t>Risque</w:t>
            </w:r>
          </w:p>
        </w:tc>
        <w:tc>
          <w:tcPr>
            <w:tcW w:type="dxa" w:w="1134"/>
            <w:shd w:val="clear" w:color="auto" w:fill="0A2540"/>
            <w:tcMar>
              <w:top w:w="120" w:type="dxa"/>
              <w:bottom w:w="120" w:type="dxa"/>
              <w:left w:w="140" w:type="dxa"/>
              <w:right w:w="140" w:type="dxa"/>
            </w:tcMar>
            <w:vAlign w:val="center"/>
          </w:tcPr>
          <w:p>
            <w:pPr>
              <w:jc w:val="left"/>
            </w:pPr>
            <w:r/>
            <w:r>
              <w:rPr>
                <w:b/>
                <w:color w:val="FFFFFF"/>
                <w:sz w:val="20"/>
              </w:rPr>
              <w:t>Probabilité</w:t>
            </w:r>
          </w:p>
        </w:tc>
        <w:tc>
          <w:tcPr>
            <w:tcW w:type="dxa" w:w="1020"/>
            <w:shd w:val="clear" w:color="auto" w:fill="0A2540"/>
            <w:tcMar>
              <w:top w:w="120" w:type="dxa"/>
              <w:bottom w:w="120" w:type="dxa"/>
              <w:left w:w="140" w:type="dxa"/>
              <w:right w:w="140" w:type="dxa"/>
            </w:tcMar>
            <w:vAlign w:val="center"/>
          </w:tcPr>
          <w:p>
            <w:pPr>
              <w:jc w:val="left"/>
            </w:pPr>
            <w:r/>
            <w:r>
              <w:rPr>
                <w:b/>
                <w:color w:val="FFFFFF"/>
                <w:sz w:val="20"/>
              </w:rPr>
              <w:t>Impact</w:t>
            </w:r>
          </w:p>
        </w:tc>
        <w:tc>
          <w:tcPr>
            <w:tcW w:type="dxa" w:w="4365"/>
            <w:shd w:val="clear" w:color="auto" w:fill="0A2540"/>
            <w:tcMar>
              <w:top w:w="120" w:type="dxa"/>
              <w:bottom w:w="120" w:type="dxa"/>
              <w:left w:w="140" w:type="dxa"/>
              <w:right w:w="140" w:type="dxa"/>
            </w:tcMar>
            <w:vAlign w:val="center"/>
          </w:tcPr>
          <w:p>
            <w:pPr>
              <w:jc w:val="left"/>
            </w:pPr>
            <w:r/>
            <w:r>
              <w:rPr>
                <w:b/>
                <w:color w:val="FFFFFF"/>
                <w:sz w:val="20"/>
              </w:rPr>
              <w:t>Parade activée</w:t>
            </w:r>
          </w:p>
        </w:tc>
      </w:tr>
      <w:tr>
        <w:tc>
          <w:tcPr>
            <w:tcW w:type="dxa" w:w="255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Réseau médias insuffisant au démarrage</w:t>
            </w:r>
          </w:p>
        </w:tc>
        <w:tc>
          <w:tcPr>
            <w:tcW w:type="dxa" w:w="113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Faible</w:t>
            </w:r>
          </w:p>
        </w:tc>
        <w:tc>
          <w:tcPr>
            <w:tcW w:type="dxa" w:w="1020"/>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Fort</w:t>
            </w:r>
          </w:p>
        </w:tc>
        <w:tc>
          <w:tcPr>
            <w:tcW w:type="dxa" w:w="436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Partenariat fondateur Association — réseau opérationnel dès J1</w:t>
            </w:r>
          </w:p>
        </w:tc>
      </w:tr>
      <w:tr>
        <w:tc>
          <w:tcPr>
            <w:tcW w:type="dxa" w:w="255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Confusion publireportage / information</w:t>
            </w:r>
          </w:p>
        </w:tc>
        <w:tc>
          <w:tcPr>
            <w:tcW w:type="dxa" w:w="113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Moyen</w:t>
            </w:r>
          </w:p>
        </w:tc>
        <w:tc>
          <w:tcPr>
            <w:tcW w:type="dxa" w:w="1020"/>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Fort</w:t>
            </w:r>
          </w:p>
        </w:tc>
        <w:tc>
          <w:tcPr>
            <w:tcW w:type="dxa" w:w="436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Charte éditoriale + mention obligatoire FCM + comité paritaire</w:t>
            </w:r>
          </w:p>
        </w:tc>
      </w:tr>
      <w:tr>
        <w:tc>
          <w:tcPr>
            <w:tcW w:type="dxa" w:w="255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Résistance des élus au changement</w:t>
            </w:r>
          </w:p>
        </w:tc>
        <w:tc>
          <w:tcPr>
            <w:tcW w:type="dxa" w:w="113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Moyen</w:t>
            </w:r>
          </w:p>
        </w:tc>
        <w:tc>
          <w:tcPr>
            <w:tcW w:type="dxa" w:w="1020"/>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Moyen</w:t>
            </w:r>
          </w:p>
        </w:tc>
        <w:tc>
          <w:tcPr>
            <w:tcW w:type="dxa" w:w="436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Démo gratuite 30 jours + premier événement offert + ROI mesurable</w:t>
            </w:r>
          </w:p>
        </w:tc>
      </w:tr>
      <w:tr>
        <w:tc>
          <w:tcPr>
            <w:tcW w:type="dxa" w:w="255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Problèmes réglementaires CNPCI / HACA</w:t>
            </w:r>
          </w:p>
        </w:tc>
        <w:tc>
          <w:tcPr>
            <w:tcW w:type="dxa" w:w="113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Faible</w:t>
            </w:r>
          </w:p>
        </w:tc>
        <w:tc>
          <w:tcPr>
            <w:tcW w:type="dxa" w:w="1020"/>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Fort</w:t>
            </w:r>
          </w:p>
        </w:tc>
        <w:tc>
          <w:tcPr>
            <w:tcW w:type="dxa" w:w="436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Consultation juridique préalable + partenariat avec régulateurs</w:t>
            </w:r>
          </w:p>
        </w:tc>
      </w:tr>
      <w:tr>
        <w:tc>
          <w:tcPr>
            <w:tcW w:type="dxa" w:w="255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Difficulté pénétration UEMOA</w:t>
            </w:r>
          </w:p>
        </w:tc>
        <w:tc>
          <w:tcPr>
            <w:tcW w:type="dxa" w:w="113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Moyen</w:t>
            </w:r>
          </w:p>
        </w:tc>
        <w:tc>
          <w:tcPr>
            <w:tcW w:type="dxa" w:w="1020"/>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Moyen</w:t>
            </w:r>
          </w:p>
        </w:tc>
        <w:tc>
          <w:tcPr>
            <w:tcW w:type="dxa" w:w="436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CI d'abord — partenaires locaux avant entrée chaque marché</w:t>
            </w:r>
          </w:p>
        </w:tc>
      </w:tr>
      <w:tr>
        <w:tc>
          <w:tcPr>
            <w:tcW w:type="dxa" w:w="255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Copie par acteur mieux financé</w:t>
            </w:r>
          </w:p>
        </w:tc>
        <w:tc>
          <w:tcPr>
            <w:tcW w:type="dxa" w:w="113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Faible</w:t>
            </w:r>
          </w:p>
        </w:tc>
        <w:tc>
          <w:tcPr>
            <w:tcW w:type="dxa" w:w="1020"/>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Moyen</w:t>
            </w:r>
          </w:p>
        </w:tc>
        <w:tc>
          <w:tcPr>
            <w:tcW w:type="dxa" w:w="436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Partenariat Association incopiable — base RÉSEAU = barrière</w:t>
            </w:r>
          </w:p>
        </w:tc>
      </w:tr>
    </w:tbl>
    <w:p>
      <w:pPr>
        <w:spacing w:after="80"/>
      </w:pPr>
    </w:p>
    <w:p>
      <w:pPr>
        <w:spacing w:before="360" w:after="40"/>
        <w:pBdr>
          <w:bottom w:val="single" w:sz="12" w:color="B8862E"/>
        </w:pBdr>
      </w:pPr>
      <w:r>
        <w:rPr>
          <w:rFonts w:ascii="Georgia" w:hAnsi="Georgia"/>
          <w:b/>
          <w:color w:val="0A2540"/>
          <w:sz w:val="36"/>
        </w:rPr>
        <w:t>11. LA DEMANDE</w:t>
      </w:r>
    </w:p>
    <w:p>
      <w:pPr>
        <w:spacing w:after="120"/>
      </w:pP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HERALDO PRESS recherche un investissement de démarrage de 18 à 20 millions de FCFA pour couvrir le développement du MVP, la constitution juridique, le fonds de roulement de 6 mois et la phase commerciale de lancement à Abidjan. Le projet atteint la rentabilité dès l'année 1 et projette un chiffre d'affaires de 127,8 M FCFA en année 3 avec une expansion dans 4 pays UEMOA.</w:t>
            </w:r>
          </w:p>
        </w:tc>
      </w:tr>
    </w:tbl>
    <w:p>
      <w:pPr>
        <w:spacing w:after="40"/>
      </w:pPr>
    </w:p>
    <w:p>
      <w:pPr>
        <w:spacing w:before="280" w:after="80"/>
      </w:pPr>
      <w:r>
        <w:rPr>
          <w:rFonts w:ascii="Calibri" w:hAnsi="Calibri"/>
          <w:b/>
          <w:color w:val="0A2540"/>
          <w:sz w:val="26"/>
        </w:rPr>
        <w:t>Prochaines étapes</w:t>
      </w:r>
    </w:p>
    <w:p>
      <w:pPr>
        <w:pStyle w:val="ListBullet"/>
        <w:spacing w:after="60"/>
        <w:ind w:left="340"/>
      </w:pPr>
      <w:r/>
      <w:r>
        <w:rPr>
          <w:sz w:val="22"/>
        </w:rPr>
        <w:t>Semaine 1 : prise de contact avec l'Association des Directeurs de Publications.</w:t>
      </w:r>
    </w:p>
    <w:p>
      <w:pPr>
        <w:pStyle w:val="ListBullet"/>
        <w:spacing w:after="60"/>
        <w:ind w:left="340"/>
      </w:pPr>
      <w:r/>
      <w:r>
        <w:rPr>
          <w:sz w:val="22"/>
        </w:rPr>
        <w:t>Semaine 2 : sélection du CTO et cadrage technique détaillé.</w:t>
      </w:r>
    </w:p>
    <w:p>
      <w:pPr>
        <w:pStyle w:val="ListBullet"/>
        <w:spacing w:after="60"/>
        <w:ind w:left="340"/>
      </w:pPr>
      <w:r/>
      <w:r>
        <w:rPr>
          <w:sz w:val="22"/>
        </w:rPr>
        <w:t>Semaine 3 : consultation juridique CNPCI / HACA et structure légale.</w:t>
      </w:r>
    </w:p>
    <w:p>
      <w:pPr>
        <w:pStyle w:val="ListBullet"/>
        <w:spacing w:after="60"/>
        <w:ind w:left="340"/>
      </w:pPr>
      <w:r/>
      <w:r>
        <w:rPr>
          <w:sz w:val="22"/>
        </w:rPr>
        <w:t>Mois 1 : constitution juridique et ouverture du compte bancaire professionnel.</w:t>
      </w:r>
    </w:p>
    <w:p>
      <w:pPr>
        <w:pStyle w:val="ListBullet"/>
        <w:spacing w:after="60"/>
        <w:ind w:left="340"/>
      </w:pPr>
      <w:r/>
      <w:r>
        <w:rPr>
          <w:sz w:val="22"/>
        </w:rPr>
        <w:t>Mois 1-2 : finalisation du CDC technique et démarrage du développement MVP.</w:t>
      </w:r>
    </w:p>
    <w:p>
      <w:pPr>
        <w:pStyle w:val="ListBullet"/>
        <w:spacing w:after="60"/>
        <w:ind w:left="340"/>
      </w:pPr>
      <w:r/>
      <w:r>
        <w:rPr>
          <w:sz w:val="22"/>
        </w:rPr>
        <w:t>Mois 2 : identification et approche des 5 premières mairies pilotes.</w:t>
      </w:r>
    </w:p>
    <w:sectPr w:rsidR="00FC693F" w:rsidRPr="0006063C" w:rsidSect="00034616">
      <w:headerReference w:type="default" r:id="rId10"/>
      <w:footerReference w:type="default" r:id="rId11"/>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0"/>
        <w:sz w:val="16"/>
      </w:rPr>
      <w:t>« Votre message, notre mission. »  —  Document confidentiel  —  Avril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A6470"/>
        <w:sz w:val="16"/>
      </w:rPr>
      <w:t>HERALDO PRESS  |  Note de synthèse exécutive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