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PLAN D'ACTION COMMERCIAL 24 MOIS</w:t>
      </w:r>
    </w:p>
    <w:p>
      <w:pPr>
        <w:spacing w:after="240"/>
        <w:jc w:val="center"/>
      </w:pPr>
      <w:r>
        <w:rPr>
          <w:rFonts w:ascii="Georgia" w:hAnsi="Georgia"/>
          <w:b/>
          <w:color w:val="0A2540"/>
          <w:sz w:val="56"/>
        </w:rPr>
        <w:t>Stratégie commerciale globale</w:t>
      </w:r>
    </w:p>
    <w:p>
      <w:pPr>
        <w:spacing w:after="720"/>
        <w:jc w:val="center"/>
      </w:pPr>
      <w:r>
        <w:rPr>
          <w:i/>
          <w:color w:val="5A6470"/>
          <w:sz w:val="26"/>
        </w:rPr>
        <w:t>Conquête du marché de la communication</w:t>
        <w:br/>
        <w:t>institutionnelle en Côte d'Ivoire et zone UEMOA</w:t>
      </w:r>
    </w:p>
    <w:p>
      <w:pPr>
        <w:jc w:val="center"/>
      </w:pPr>
      <w:r>
        <w:rPr>
          <w:color w:val="B8862E"/>
          <w:sz w:val="28"/>
        </w:rPr>
        <w:t>— • —</w:t>
      </w:r>
    </w:p>
    <w:p/>
    <w:p/>
    <w:p/>
    <w:p/>
    <w:p/>
    <w:p/>
    <w:p/>
    <w:p/>
    <w:p>
      <w:pPr>
        <w:jc w:val="center"/>
      </w:pPr>
      <w:r>
        <w:rPr>
          <w:color w:val="5A6470"/>
          <w:sz w:val="18"/>
        </w:rPr>
        <w:t>Réf : HP-STRAT-2026-002</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1. VISION ET AMBITION COMMERCIALE</w:t>
      </w:r>
    </w:p>
    <w:p>
      <w:pPr>
        <w:spacing w:after="120"/>
      </w:pPr>
    </w:p>
    <w:p>
      <w:pPr>
        <w:spacing w:after="120" w:line="300" w:lineRule="auto"/>
        <w:jc w:val="both"/>
      </w:pPr>
      <w:r>
        <w:rPr>
          <w:b w:val="0"/>
          <w:i w:val="0"/>
          <w:sz w:val="22"/>
        </w:rPr>
        <w:t>HERALDO PRESS ne vend pas un logiciel : nous vendons à nos clients la maîtrise totale de leur communication médiatique. Là où aujourd'hui les institutions opèrent dans l'opacité (per diems cash, taux de publication aléatoire, aucune mesure), nous leur apportons traçabilité, prévisibilité et ROI mesurable. Notre stratégie commerciale doit porter ce message disruptif tout en respectant les codes culturels et politiques du marché ivoirien.</w:t>
      </w:r>
    </w:p>
    <w:p>
      <w:pPr>
        <w:spacing w:before="280" w:after="80"/>
      </w:pPr>
      <w:r>
        <w:rPr>
          <w:rFonts w:ascii="Calibri" w:hAnsi="Calibri"/>
          <w:b/>
          <w:color w:val="0A2540"/>
          <w:sz w:val="26"/>
        </w:rPr>
        <w:t>Trois ambitions chiffrées à 24 mois</w:t>
      </w:r>
    </w:p>
    <w:tbl>
      <w:tblPr>
        <w:tblW w:type="auto" w:w="0"/>
        <w:tblLook w:firstColumn="1" w:firstRow="1" w:lastColumn="0" w:lastRow="0" w:noHBand="0" w:noVBand="1" w:val="04A0"/>
      </w:tblPr>
      <w:tblGrid>
        <w:gridCol w:w="3249"/>
        <w:gridCol w:w="3249"/>
        <w:gridCol w:w="3249"/>
      </w:tblGrid>
      <w:tr>
        <w:tc>
          <w:tcPr>
            <w:tcW w:type="dxa" w:w="3249"/>
            <w:shd w:val="clear" w:color="auto" w:fill="F7F9FB"/>
            <w:tcMar>
              <w:top w:w="180" w:type="dxa"/>
              <w:bottom w:w="40" w:type="dxa"/>
              <w:left w:w="80" w:type="dxa"/>
              <w:right w:w="80" w:type="dxa"/>
            </w:tcMar>
            <w:vAlign w:val="center"/>
            <w:tcBorders>
              <w:top w:sz="4" w:color="B8862E" w:val="single"/>
              <w:left w:sz="4" w:color="B8862E" w:val="single"/>
              <w:bottom w:sz="4" w:color="B8862E" w:val="single"/>
              <w:right w:sz="4" w:color="B8862E" w:val="single"/>
            </w:tcBorders>
          </w:tcPr>
          <w:p>
            <w:pPr>
              <w:jc w:val="center"/>
            </w:pPr>
            <w:r/>
            <w:r>
              <w:rPr>
                <w:rFonts w:ascii="Georgia" w:hAnsi="Georgia"/>
                <w:b/>
                <w:color w:val="0A2540"/>
                <w:sz w:val="40"/>
              </w:rPr>
              <w:t>200+</w:t>
            </w:r>
          </w:p>
        </w:tc>
        <w:tc>
          <w:tcPr>
            <w:tcW w:type="dxa" w:w="3249"/>
            <w:shd w:val="clear" w:color="auto" w:fill="F7F9FB"/>
            <w:tcMar>
              <w:top w:w="180" w:type="dxa"/>
              <w:bottom w:w="40" w:type="dxa"/>
              <w:left w:w="80" w:type="dxa"/>
              <w:right w:w="80" w:type="dxa"/>
            </w:tcMar>
            <w:vAlign w:val="center"/>
            <w:tcBorders>
              <w:top w:sz="4" w:color="B8862E" w:val="single"/>
              <w:left w:sz="4" w:color="B8862E" w:val="single"/>
              <w:bottom w:sz="4" w:color="B8862E" w:val="single"/>
              <w:right w:sz="4" w:color="B8862E" w:val="single"/>
            </w:tcBorders>
          </w:tcPr>
          <w:p>
            <w:pPr>
              <w:jc w:val="center"/>
            </w:pPr>
            <w:r/>
            <w:r>
              <w:rPr>
                <w:rFonts w:ascii="Georgia" w:hAnsi="Georgia"/>
                <w:b/>
                <w:color w:val="0A2540"/>
                <w:sz w:val="40"/>
              </w:rPr>
              <w:t>80 M</w:t>
            </w:r>
          </w:p>
        </w:tc>
        <w:tc>
          <w:tcPr>
            <w:tcW w:type="dxa" w:w="3249"/>
            <w:shd w:val="clear" w:color="auto" w:fill="F7F9FB"/>
            <w:tcMar>
              <w:top w:w="180" w:type="dxa"/>
              <w:bottom w:w="40" w:type="dxa"/>
              <w:left w:w="80" w:type="dxa"/>
              <w:right w:w="80" w:type="dxa"/>
            </w:tcMar>
            <w:vAlign w:val="center"/>
            <w:tcBorders>
              <w:top w:sz="4" w:color="B8862E" w:val="single"/>
              <w:left w:sz="4" w:color="B8862E" w:val="single"/>
              <w:bottom w:sz="4" w:color="B8862E" w:val="single"/>
              <w:right w:sz="4" w:color="B8862E" w:val="single"/>
            </w:tcBorders>
          </w:tcPr>
          <w:p>
            <w:pPr>
              <w:jc w:val="center"/>
            </w:pPr>
            <w:r/>
            <w:r>
              <w:rPr>
                <w:rFonts w:ascii="Georgia" w:hAnsi="Georgia"/>
                <w:b/>
                <w:color w:val="0A2540"/>
                <w:sz w:val="40"/>
              </w:rPr>
              <w:t>4 pays</w:t>
            </w:r>
          </w:p>
        </w:tc>
      </w:tr>
      <w:tr>
        <w:tc>
          <w:tcPr>
            <w:tcW w:type="dxa" w:w="3249"/>
            <w:shd w:val="clear" w:color="auto" w:fill="F7F9FB"/>
            <w:tcMar>
              <w:top w:w="20" w:type="dxa"/>
              <w:bottom w:w="180" w:type="dxa"/>
              <w:left w:w="80" w:type="dxa"/>
              <w:right w:w="80" w:type="dxa"/>
            </w:tcMar>
            <w:tcBorders>
              <w:top w:sz="4" w:color="B8862E" w:val="single"/>
              <w:left w:sz="4" w:color="B8862E" w:val="single"/>
              <w:bottom w:sz="4" w:color="B8862E" w:val="single"/>
              <w:right w:sz="4" w:color="B8862E" w:val="single"/>
            </w:tcBorders>
          </w:tcPr>
          <w:p>
            <w:pPr>
              <w:jc w:val="center"/>
            </w:pPr>
            <w:r/>
            <w:r>
              <w:rPr>
                <w:color w:val="5A6470"/>
                <w:sz w:val="18"/>
              </w:rPr>
              <w:t>Clients institutionnels</w:t>
              <w:br/>
              <w:t>actifs sur la plateforme</w:t>
            </w:r>
          </w:p>
        </w:tc>
        <w:tc>
          <w:tcPr>
            <w:tcW w:type="dxa" w:w="3249"/>
            <w:shd w:val="clear" w:color="auto" w:fill="F7F9FB"/>
            <w:tcMar>
              <w:top w:w="20" w:type="dxa"/>
              <w:bottom w:w="180" w:type="dxa"/>
              <w:left w:w="80" w:type="dxa"/>
              <w:right w:w="80" w:type="dxa"/>
            </w:tcMar>
            <w:tcBorders>
              <w:top w:sz="4" w:color="B8862E" w:val="single"/>
              <w:left w:sz="4" w:color="B8862E" w:val="single"/>
              <w:bottom w:sz="4" w:color="B8862E" w:val="single"/>
              <w:right w:sz="4" w:color="B8862E" w:val="single"/>
            </w:tcBorders>
          </w:tcPr>
          <w:p>
            <w:pPr>
              <w:jc w:val="center"/>
            </w:pPr>
            <w:r/>
            <w:r>
              <w:rPr>
                <w:color w:val="5A6470"/>
                <w:sz w:val="18"/>
              </w:rPr>
              <w:t>FCFA d'ARR</w:t>
              <w:br/>
              <w:t>(récurrents annualisés)</w:t>
            </w:r>
          </w:p>
        </w:tc>
        <w:tc>
          <w:tcPr>
            <w:tcW w:type="dxa" w:w="3249"/>
            <w:shd w:val="clear" w:color="auto" w:fill="F7F9FB"/>
            <w:tcMar>
              <w:top w:w="20" w:type="dxa"/>
              <w:bottom w:w="180" w:type="dxa"/>
              <w:left w:w="80" w:type="dxa"/>
              <w:right w:w="80" w:type="dxa"/>
            </w:tcMar>
            <w:tcBorders>
              <w:top w:sz="4" w:color="B8862E" w:val="single"/>
              <w:left w:sz="4" w:color="B8862E" w:val="single"/>
              <w:bottom w:sz="4" w:color="B8862E" w:val="single"/>
              <w:right w:sz="4" w:color="B8862E" w:val="single"/>
            </w:tcBorders>
          </w:tcPr>
          <w:p>
            <w:pPr>
              <w:jc w:val="center"/>
            </w:pPr>
            <w:r/>
            <w:r>
              <w:rPr>
                <w:color w:val="5A6470"/>
                <w:sz w:val="18"/>
              </w:rPr>
              <w:t>UEMOA opérationnels</w:t>
              <w:br/>
              <w:t>CI · SN · BF · ML</w:t>
            </w:r>
          </w:p>
        </w:tc>
      </w:tr>
    </w:tbl>
    <w:p>
      <w:pPr>
        <w:spacing w:after="120"/>
      </w:pPr>
    </w:p>
    <w:p>
      <w:pPr>
        <w:spacing w:before="360" w:after="40"/>
        <w:pBdr>
          <w:bottom w:val="single" w:sz="12" w:color="B8862E"/>
        </w:pBdr>
      </w:pPr>
      <w:r>
        <w:rPr>
          <w:rFonts w:ascii="Georgia" w:hAnsi="Georgia"/>
          <w:b/>
          <w:color w:val="0A2540"/>
          <w:sz w:val="36"/>
        </w:rPr>
        <w:t>2. SEGMENTATION CIBLE ET PRIORISATION</w:t>
      </w:r>
    </w:p>
    <w:p>
      <w:pPr>
        <w:spacing w:after="120"/>
      </w:pPr>
    </w:p>
    <w:p>
      <w:pPr>
        <w:spacing w:before="280" w:after="80"/>
      </w:pPr>
      <w:r>
        <w:rPr>
          <w:rFonts w:ascii="Calibri" w:hAnsi="Calibri"/>
          <w:b/>
          <w:color w:val="0A2540"/>
          <w:sz w:val="26"/>
        </w:rPr>
        <w:t>Cartographie des 5 segments prioritaires</w:t>
      </w:r>
    </w:p>
    <w:tbl>
      <w:tblPr>
        <w:tblW w:type="auto" w:w="0"/>
        <w:jc w:val="center"/>
        <w:tblLook w:firstColumn="1" w:firstRow="1" w:lastColumn="0" w:lastRow="0" w:noHBand="0" w:noVBand="1" w:val="04A0"/>
      </w:tblPr>
      <w:tblGrid>
        <w:gridCol w:w="1949"/>
        <w:gridCol w:w="1949"/>
        <w:gridCol w:w="1949"/>
        <w:gridCol w:w="1949"/>
        <w:gridCol w:w="1949"/>
      </w:tblGrid>
      <w:tr>
        <w:tc>
          <w:tcPr>
            <w:tcW w:type="dxa" w:w="2551"/>
            <w:shd w:val="clear" w:color="auto" w:fill="0A2540"/>
            <w:tcMar>
              <w:top w:w="120" w:type="dxa"/>
              <w:bottom w:w="120" w:type="dxa"/>
              <w:left w:w="140" w:type="dxa"/>
              <w:right w:w="140" w:type="dxa"/>
            </w:tcMar>
            <w:vAlign w:val="center"/>
          </w:tcPr>
          <w:p>
            <w:pPr>
              <w:jc w:val="left"/>
            </w:pPr>
            <w:r/>
            <w:r>
              <w:rPr>
                <w:b/>
                <w:color w:val="FFFFFF"/>
                <w:sz w:val="20"/>
              </w:rPr>
              <w:t>Segment</w:t>
            </w:r>
          </w:p>
        </w:tc>
        <w:tc>
          <w:tcPr>
            <w:tcW w:type="dxa" w:w="1134"/>
            <w:shd w:val="clear" w:color="auto" w:fill="0A2540"/>
            <w:tcMar>
              <w:top w:w="120" w:type="dxa"/>
              <w:bottom w:w="120" w:type="dxa"/>
              <w:left w:w="140" w:type="dxa"/>
              <w:right w:w="140" w:type="dxa"/>
            </w:tcMar>
            <w:vAlign w:val="center"/>
          </w:tcPr>
          <w:p>
            <w:pPr>
              <w:jc w:val="left"/>
            </w:pPr>
            <w:r/>
            <w:r>
              <w:rPr>
                <w:b/>
                <w:color w:val="FFFFFF"/>
                <w:sz w:val="20"/>
              </w:rPr>
              <w:t>Volume CI</w:t>
            </w:r>
          </w:p>
        </w:tc>
        <w:tc>
          <w:tcPr>
            <w:tcW w:type="dxa" w:w="1587"/>
            <w:shd w:val="clear" w:color="auto" w:fill="0A2540"/>
            <w:tcMar>
              <w:top w:w="120" w:type="dxa"/>
              <w:bottom w:w="120" w:type="dxa"/>
              <w:left w:w="140" w:type="dxa"/>
              <w:right w:w="140" w:type="dxa"/>
            </w:tcMar>
            <w:vAlign w:val="center"/>
          </w:tcPr>
          <w:p>
            <w:pPr>
              <w:jc w:val="left"/>
            </w:pPr>
            <w:r/>
            <w:r>
              <w:rPr>
                <w:b/>
                <w:color w:val="FFFFFF"/>
                <w:sz w:val="20"/>
              </w:rPr>
              <w:t>ARPU annuel</w:t>
            </w:r>
          </w:p>
        </w:tc>
        <w:tc>
          <w:tcPr>
            <w:tcW w:type="dxa" w:w="1587"/>
            <w:shd w:val="clear" w:color="auto" w:fill="0A2540"/>
            <w:tcMar>
              <w:top w:w="120" w:type="dxa"/>
              <w:bottom w:w="120" w:type="dxa"/>
              <w:left w:w="140" w:type="dxa"/>
              <w:right w:w="140" w:type="dxa"/>
            </w:tcMar>
            <w:vAlign w:val="center"/>
          </w:tcPr>
          <w:p>
            <w:pPr>
              <w:jc w:val="left"/>
            </w:pPr>
            <w:r/>
            <w:r>
              <w:rPr>
                <w:b/>
                <w:color w:val="FFFFFF"/>
                <w:sz w:val="20"/>
              </w:rPr>
              <w:t>Cycle de vente</w:t>
            </w:r>
          </w:p>
        </w:tc>
        <w:tc>
          <w:tcPr>
            <w:tcW w:type="dxa" w:w="2041"/>
            <w:shd w:val="clear" w:color="auto" w:fill="0A2540"/>
            <w:tcMar>
              <w:top w:w="120" w:type="dxa"/>
              <w:bottom w:w="120" w:type="dxa"/>
              <w:left w:w="140" w:type="dxa"/>
              <w:right w:w="140" w:type="dxa"/>
            </w:tcMar>
            <w:vAlign w:val="center"/>
          </w:tcPr>
          <w:p>
            <w:pPr>
              <w:jc w:val="left"/>
            </w:pPr>
            <w:r/>
            <w:r>
              <w:rPr>
                <w:b/>
                <w:color w:val="FFFFFF"/>
                <w:sz w:val="20"/>
              </w:rPr>
              <w:t>Priorité</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Mairies / Communes</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201</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480 000 FCFA</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30-60 jours</w:t>
            </w:r>
          </w:p>
        </w:tc>
        <w:tc>
          <w:tcPr>
            <w:tcW w:type="dxa" w:w="204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P0 — Cœur de cible</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Ministères / Directions centrales</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40+</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60-120 jours</w:t>
            </w:r>
          </w:p>
        </w:tc>
        <w:tc>
          <w:tcPr>
            <w:tcW w:type="dxa" w:w="204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P1 — Forte valeur</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Conseils régionaux</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31</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60-90 jours</w:t>
            </w:r>
          </w:p>
        </w:tc>
        <w:tc>
          <w:tcPr>
            <w:tcW w:type="dxa" w:w="204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P1</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Députés / Conseillers</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255</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15-30 jours</w:t>
            </w:r>
          </w:p>
        </w:tc>
        <w:tc>
          <w:tcPr>
            <w:tcW w:type="dxa" w:w="204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P2 — Volume / acquisition rapide</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Agences RP / Cabinets conseil</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720 000 FCFA</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30-45 jours</w:t>
            </w:r>
          </w:p>
        </w:tc>
        <w:tc>
          <w:tcPr>
            <w:tcW w:type="dxa" w:w="204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P1 — Effet multiplicateur</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Grandes entreprises / Banques</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Variable</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60-90 jours</w:t>
            </w:r>
          </w:p>
        </w:tc>
        <w:tc>
          <w:tcPr>
            <w:tcW w:type="dxa" w:w="204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P3 — Phase 2</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ONG internationales</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Variable</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45-75 jours</w:t>
            </w:r>
          </w:p>
        </w:tc>
        <w:tc>
          <w:tcPr>
            <w:tcW w:type="dxa" w:w="204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P3 — Phase 2</w:t>
            </w:r>
          </w:p>
        </w:tc>
      </w:tr>
    </w:tbl>
    <w:p>
      <w:pPr>
        <w:spacing w:after="80"/>
      </w:pPr>
    </w:p>
    <w:p>
      <w:pPr>
        <w:spacing w:before="280" w:after="80"/>
      </w:pPr>
      <w:r>
        <w:rPr>
          <w:rFonts w:ascii="Calibri" w:hAnsi="Calibri"/>
          <w:b/>
          <w:color w:val="0A2540"/>
          <w:sz w:val="26"/>
        </w:rPr>
        <w:t>Persona décideurs</w:t>
      </w:r>
    </w:p>
    <w:p>
      <w:pPr>
        <w:spacing w:before="160" w:after="40"/>
      </w:pPr>
      <w:r>
        <w:rPr>
          <w:b/>
          <w:color w:val="B8862E"/>
          <w:sz w:val="22"/>
        </w:rPr>
        <w:t>Persona 1 — Le Maire / DG de commune</w:t>
      </w:r>
    </w:p>
    <w:p>
      <w:pPr>
        <w:spacing w:after="120" w:line="300" w:lineRule="auto"/>
        <w:jc w:val="left"/>
      </w:pPr>
      <w:r>
        <w:rPr>
          <w:b w:val="0"/>
          <w:i w:val="0"/>
          <w:sz w:val="22"/>
        </w:rPr>
        <w:t>Élu local sous pression de visibilité et de redevabilité. Budget communication compris entre 2 et 15 M FCFA/an, dépensé aujourd'hui sans mesure. Sensible au ROI politique (couverture média = capital électoral). Achat émotionnel et politique autant que rationnel.</w:t>
      </w:r>
    </w:p>
    <w:p>
      <w:pPr>
        <w:spacing w:before="160" w:after="40"/>
      </w:pPr>
      <w:r>
        <w:rPr>
          <w:b/>
          <w:color w:val="B8862E"/>
          <w:sz w:val="22"/>
        </w:rPr>
        <w:t>Persona 2 — Le Directeur de la Communication ministérielle</w:t>
      </w:r>
    </w:p>
    <w:p>
      <w:pPr>
        <w:spacing w:after="120" w:line="300" w:lineRule="auto"/>
        <w:jc w:val="left"/>
      </w:pPr>
      <w:r>
        <w:rPr>
          <w:b w:val="0"/>
          <w:i w:val="0"/>
          <w:sz w:val="22"/>
        </w:rPr>
        <w:t>Cadre supérieur, formation supérieure, exposé aux outils internationaux. Cherche à professionnaliser la fonction communication. Achat rationnel basé sur les fonctionnalités, le reporting et la conformité. Cycle long, validation hiérarchique multiple.</w:t>
      </w:r>
    </w:p>
    <w:p>
      <w:pPr>
        <w:spacing w:before="160" w:after="40"/>
      </w:pPr>
      <w:r>
        <w:rPr>
          <w:b/>
          <w:color w:val="B8862E"/>
          <w:sz w:val="22"/>
        </w:rPr>
        <w:t>Persona 3 — Le Député / Conseiller</w:t>
      </w:r>
    </w:p>
    <w:p>
      <w:pPr>
        <w:spacing w:after="120" w:line="300" w:lineRule="auto"/>
        <w:jc w:val="left"/>
      </w:pPr>
      <w:r>
        <w:rPr>
          <w:b w:val="0"/>
          <w:i w:val="0"/>
          <w:sz w:val="22"/>
        </w:rPr>
        <w:t>Élu national ou régional avec besoin de présence médiatique régulière (2-4 communiqués/mois). Budget personnel ou de groupe parlementaire. Achat rapide, sensible à la simplicité d'usage et au prestige du badge "membre HERALDO PRESS".</w:t>
      </w:r>
    </w:p>
    <w:p>
      <w:pPr>
        <w:spacing w:before="160" w:after="40"/>
      </w:pPr>
      <w:r>
        <w:rPr>
          <w:b/>
          <w:color w:val="B8862E"/>
          <w:sz w:val="22"/>
        </w:rPr>
        <w:t>Persona 4 — Le Patron d'agence RP</w:t>
      </w:r>
    </w:p>
    <w:p>
      <w:pPr>
        <w:spacing w:after="120" w:line="300" w:lineRule="auto"/>
        <w:jc w:val="left"/>
      </w:pPr>
      <w:r>
        <w:rPr>
          <w:b w:val="0"/>
          <w:i w:val="0"/>
          <w:sz w:val="22"/>
        </w:rPr>
        <w:t>Entrepreneur exigeant qui cherche à augmenter sa marge en sous-traitant la diffusion. Sensible à la marque blanche, au multi-comptes clients et aux outils de reporting professionnels qu'il pourra facturer.</w:t>
      </w:r>
    </w:p>
    <w:p>
      <w:r>
        <w:br w:type="page"/>
      </w:r>
    </w:p>
    <w:p>
      <w:pPr>
        <w:spacing w:before="360" w:after="40"/>
        <w:pBdr>
          <w:bottom w:val="single" w:sz="12" w:color="B8862E"/>
        </w:pBdr>
      </w:pPr>
      <w:r>
        <w:rPr>
          <w:rFonts w:ascii="Georgia" w:hAnsi="Georgia"/>
          <w:b/>
          <w:color w:val="0A2540"/>
          <w:sz w:val="36"/>
        </w:rPr>
        <w:t>3. POSITIONNEMENT ET MESSAGES CLÉS</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HERALDO PRESS n'est pas une agence RP numérique. C'est l'INFRASTRUCTURE OFFICIELLE de la communication médiatique institutionnelle en Afrique de l'Ouest — un outil quotidien, indispensable, intégré dans les workflows.</w:t>
            </w:r>
          </w:p>
        </w:tc>
      </w:tr>
    </w:tbl>
    <w:p>
      <w:pPr>
        <w:spacing w:after="40"/>
      </w:pPr>
    </w:p>
    <w:p>
      <w:pPr>
        <w:spacing w:before="280" w:after="80"/>
      </w:pPr>
      <w:r>
        <w:rPr>
          <w:rFonts w:ascii="Calibri" w:hAnsi="Calibri"/>
          <w:b/>
          <w:color w:val="0A2540"/>
          <w:sz w:val="26"/>
        </w:rPr>
        <w:t>Messages par segment</w:t>
      </w:r>
    </w:p>
    <w:tbl>
      <w:tblPr>
        <w:tblW w:type="auto" w:w="0"/>
        <w:jc w:val="center"/>
        <w:tblLook w:firstColumn="1" w:firstRow="1" w:lastColumn="0" w:lastRow="0" w:noHBand="0" w:noVBand="1" w:val="04A0"/>
      </w:tblPr>
      <w:tblGrid>
        <w:gridCol w:w="3249"/>
        <w:gridCol w:w="3249"/>
        <w:gridCol w:w="3249"/>
      </w:tblGrid>
      <w:tr>
        <w:tc>
          <w:tcPr>
            <w:tcW w:type="dxa" w:w="1417"/>
            <w:shd w:val="clear" w:color="auto" w:fill="0A2540"/>
            <w:tcMar>
              <w:top w:w="120" w:type="dxa"/>
              <w:bottom w:w="120" w:type="dxa"/>
              <w:left w:w="140" w:type="dxa"/>
              <w:right w:w="140" w:type="dxa"/>
            </w:tcMar>
            <w:vAlign w:val="center"/>
          </w:tcPr>
          <w:p>
            <w:pPr>
              <w:jc w:val="left"/>
            </w:pPr>
            <w:r/>
            <w:r>
              <w:rPr>
                <w:b/>
                <w:color w:val="FFFFFF"/>
                <w:sz w:val="20"/>
              </w:rPr>
              <w:t>Segment</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Message principal</w:t>
            </w:r>
          </w:p>
        </w:tc>
        <w:tc>
          <w:tcPr>
            <w:tcW w:type="dxa" w:w="3685"/>
            <w:shd w:val="clear" w:color="auto" w:fill="0A2540"/>
            <w:tcMar>
              <w:top w:w="120" w:type="dxa"/>
              <w:bottom w:w="120" w:type="dxa"/>
              <w:left w:w="140" w:type="dxa"/>
              <w:right w:w="140" w:type="dxa"/>
            </w:tcMar>
            <w:vAlign w:val="center"/>
          </w:tcPr>
          <w:p>
            <w:pPr>
              <w:jc w:val="left"/>
            </w:pPr>
            <w:r/>
            <w:r>
              <w:rPr>
                <w:b/>
                <w:color w:val="FFFFFF"/>
                <w:sz w:val="20"/>
              </w:rPr>
              <w:t>Preuve à apporter</w:t>
            </w:r>
          </w:p>
        </w:tc>
      </w:tr>
      <w:tr>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Mairie</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Reprenez la main sur votre relation presse — fini les per diems sans retour.</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Démo + témoignage maire pilote + tableau ROI</w:t>
            </w:r>
          </w:p>
        </w:tc>
      </w:tr>
      <w:tr>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Ministère</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 standard professionnel de la communication d'État — traçabilité, conformité, reporting.</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Conformité CNPCI / HACA + audit sécurité</w:t>
            </w:r>
          </w:p>
        </w:tc>
      </w:tr>
      <w:tr>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Député</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Votre voix mérite d'être entendue — en 5 minutes, partout, mesurable.</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Démo express + tarif accessible + portage politique</w:t>
            </w:r>
          </w:p>
        </w:tc>
      </w:tr>
      <w:tr>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Agence RP</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Multipliez vos clients sans multiplier vos coûts — la plateforme tout-en-un.</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Marque blanche + multi-comptes + commission FCM</w:t>
            </w:r>
          </w:p>
        </w:tc>
      </w:tr>
    </w:tbl>
    <w:p>
      <w:pPr>
        <w:spacing w:after="80"/>
      </w:pPr>
    </w:p>
    <w:p>
      <w:pPr>
        <w:spacing w:before="280" w:after="80"/>
      </w:pPr>
      <w:r>
        <w:rPr>
          <w:rFonts w:ascii="Calibri" w:hAnsi="Calibri"/>
          <w:b/>
          <w:color w:val="0A2540"/>
          <w:sz w:val="26"/>
        </w:rPr>
        <w:t>Trois preuves différenciantes universelles</w:t>
      </w:r>
    </w:p>
    <w:p>
      <w:pPr>
        <w:pStyle w:val="ListBullet"/>
        <w:spacing w:after="60"/>
        <w:ind w:left="340"/>
      </w:pPr>
      <w:r/>
      <w:r>
        <w:rPr>
          <w:sz w:val="22"/>
        </w:rPr>
        <w:t>Le FCM digitalise le per diem — première solution au monde adaptée à l'écosystème médiatique ouest-africain.</w:t>
      </w:r>
    </w:p>
    <w:p>
      <w:pPr>
        <w:pStyle w:val="ListBullet"/>
        <w:spacing w:after="60"/>
        <w:ind w:left="340"/>
      </w:pPr>
      <w:r/>
      <w:r>
        <w:rPr>
          <w:sz w:val="22"/>
        </w:rPr>
        <w:t>Une salle de presse virtuelle brandée à 75 000 FCFA contre 500 000 à 2 000 000 FCFA pour le physique : 85% à 96% d'économies.</w:t>
      </w:r>
    </w:p>
    <w:p>
      <w:pPr>
        <w:pStyle w:val="ListBullet"/>
        <w:spacing w:after="60"/>
        <w:ind w:left="340"/>
      </w:pPr>
      <w:r/>
      <w:r>
        <w:rPr>
          <w:sz w:val="22"/>
        </w:rPr>
        <w:t>Le partenariat fondateur avec l'Association des Directeurs de Publications garantit un réseau de médias accrédités opérationnel dès le premier jour.</w:t>
      </w:r>
    </w:p>
    <w:p>
      <w:pPr>
        <w:spacing w:before="360" w:after="40"/>
        <w:pBdr>
          <w:bottom w:val="single" w:sz="12" w:color="B8862E"/>
        </w:pBdr>
      </w:pPr>
      <w:r>
        <w:rPr>
          <w:rFonts w:ascii="Georgia" w:hAnsi="Georgia"/>
          <w:b/>
          <w:color w:val="0A2540"/>
          <w:sz w:val="36"/>
        </w:rPr>
        <w:t>4. STRATÉGIE GO-TO-MARKET — PHASAGE 24 MOIS</w:t>
      </w:r>
    </w:p>
    <w:p>
      <w:pPr>
        <w:spacing w:after="120"/>
      </w:pPr>
    </w:p>
    <w:p>
      <w:pPr>
        <w:spacing w:before="280" w:after="80"/>
      </w:pPr>
      <w:r>
        <w:rPr>
          <w:rFonts w:ascii="Calibri" w:hAnsi="Calibri"/>
          <w:b/>
          <w:color w:val="0A2540"/>
          <w:sz w:val="26"/>
        </w:rPr>
        <w:t>Phase 0 — Fondation (M0 à M2)</w:t>
      </w:r>
    </w:p>
    <w:p>
      <w:pPr>
        <w:spacing w:after="120" w:line="300" w:lineRule="auto"/>
        <w:jc w:val="left"/>
      </w:pPr>
      <w:r>
        <w:rPr>
          <w:b/>
          <w:i w:val="0"/>
          <w:sz w:val="22"/>
        </w:rPr>
        <w:t>Objectif : préparer le terrain commercial avant tout démarrage de vente.</w:t>
      </w:r>
    </w:p>
    <w:p>
      <w:pPr>
        <w:pStyle w:val="ListBullet"/>
        <w:spacing w:after="60"/>
        <w:ind w:left="340"/>
      </w:pPr>
      <w:r/>
      <w:r>
        <w:rPr>
          <w:sz w:val="22"/>
        </w:rPr>
        <w:t>Signature du partenariat avec l'Association des Directeurs de Publications — communiqué de presse conjoint.</w:t>
      </w:r>
    </w:p>
    <w:p>
      <w:pPr>
        <w:pStyle w:val="ListBullet"/>
        <w:spacing w:after="60"/>
        <w:ind w:left="340"/>
      </w:pPr>
      <w:r/>
      <w:r>
        <w:rPr>
          <w:sz w:val="22"/>
        </w:rPr>
        <w:t>Constitution d'un comité de soutien institutionnel (3-5 personnalités du secteur public et de la presse).</w:t>
      </w:r>
    </w:p>
    <w:p>
      <w:pPr>
        <w:pStyle w:val="ListBullet"/>
        <w:spacing w:after="60"/>
        <w:ind w:left="340"/>
      </w:pPr>
      <w:r/>
      <w:r>
        <w:rPr>
          <w:sz w:val="22"/>
        </w:rPr>
        <w:t>Identification de 5 mairies pilotes pour la phase de démonstration (cible : Abidjan, Yamoussoukro, Bouaké, San Pedro, Korhogo).</w:t>
      </w:r>
    </w:p>
    <w:p>
      <w:pPr>
        <w:pStyle w:val="ListBullet"/>
        <w:spacing w:after="60"/>
        <w:ind w:left="340"/>
      </w:pPr>
      <w:r/>
      <w:r>
        <w:rPr>
          <w:sz w:val="22"/>
        </w:rPr>
        <w:t>Production des supports commerciaux : pitch deck, brochure imprimée, vidéo de démonstration 90 secondes.</w:t>
      </w:r>
    </w:p>
    <w:p>
      <w:pPr>
        <w:spacing w:before="280" w:after="80"/>
      </w:pPr>
      <w:r>
        <w:rPr>
          <w:rFonts w:ascii="Calibri" w:hAnsi="Calibri"/>
          <w:b/>
          <w:color w:val="0A2540"/>
          <w:sz w:val="26"/>
        </w:rPr>
        <w:t>Phase 1 — MVP et pilotes (M2 à M5)</w:t>
      </w:r>
    </w:p>
    <w:p>
      <w:pPr>
        <w:spacing w:after="120" w:line="300" w:lineRule="auto"/>
        <w:jc w:val="left"/>
      </w:pPr>
      <w:r>
        <w:rPr>
          <w:b/>
          <w:i w:val="0"/>
          <w:sz w:val="22"/>
        </w:rPr>
        <w:t>Objectif : 5 mairies pilotes utilisant gratuitement la plateforme + premiers retours produit.</w:t>
      </w:r>
    </w:p>
    <w:p>
      <w:pPr>
        <w:pStyle w:val="ListBullet"/>
        <w:spacing w:after="60"/>
        <w:ind w:left="340"/>
      </w:pPr>
      <w:r/>
      <w:r>
        <w:rPr>
          <w:sz w:val="22"/>
        </w:rPr>
        <w:t>Onboarding gratuit des 5 mairies pilotes avec accompagnement personnalisé.</w:t>
      </w:r>
    </w:p>
    <w:p>
      <w:pPr>
        <w:pStyle w:val="ListBullet"/>
        <w:spacing w:after="60"/>
        <w:ind w:left="340"/>
      </w:pPr>
      <w:r/>
      <w:r>
        <w:rPr>
          <w:sz w:val="22"/>
        </w:rPr>
        <w:t>Organisation de 3 événements de démonstration publique à Abidjan (1 par mois) ouverts aux décideurs et journalistes.</w:t>
      </w:r>
    </w:p>
    <w:p>
      <w:pPr>
        <w:pStyle w:val="ListBullet"/>
        <w:spacing w:after="60"/>
        <w:ind w:left="340"/>
      </w:pPr>
      <w:r/>
      <w:r>
        <w:rPr>
          <w:sz w:val="22"/>
        </w:rPr>
        <w:t>Captation de témoignages vidéo des maires pilotes pour le lancement commercial.</w:t>
      </w:r>
    </w:p>
    <w:p>
      <w:pPr>
        <w:pStyle w:val="ListBullet"/>
        <w:spacing w:after="60"/>
        <w:ind w:left="340"/>
      </w:pPr>
      <w:r/>
      <w:r>
        <w:rPr>
          <w:sz w:val="22"/>
        </w:rPr>
        <w:t>Onboarding des 5 premiers médias et 30 premiers journalistes via l'Association.</w:t>
      </w:r>
    </w:p>
    <w:p>
      <w:pPr>
        <w:spacing w:before="280" w:after="80"/>
      </w:pPr>
      <w:r>
        <w:rPr>
          <w:rFonts w:ascii="Calibri" w:hAnsi="Calibri"/>
          <w:b/>
          <w:color w:val="0A2540"/>
          <w:sz w:val="26"/>
        </w:rPr>
        <w:t>Phase 2 — Lancement Abidjan (M5 à M8)</w:t>
      </w:r>
    </w:p>
    <w:p>
      <w:pPr>
        <w:spacing w:after="120" w:line="300" w:lineRule="auto"/>
        <w:jc w:val="left"/>
      </w:pPr>
      <w:r>
        <w:rPr>
          <w:b/>
          <w:i w:val="0"/>
          <w:sz w:val="22"/>
        </w:rPr>
        <w:t>Objectif : 20 premiers clients payants signés et activation FCM.</w:t>
      </w:r>
    </w:p>
    <w:p>
      <w:pPr>
        <w:pStyle w:val="ListBullet"/>
        <w:spacing w:after="60"/>
        <w:ind w:left="340"/>
      </w:pPr>
      <w:r/>
      <w:r>
        <w:rPr>
          <w:sz w:val="22"/>
        </w:rPr>
        <w:t>Lancement officiel à Abidjan avec conférence de presse — utilisation de notre propre salle AGORA.</w:t>
      </w:r>
    </w:p>
    <w:p>
      <w:pPr>
        <w:pStyle w:val="ListBullet"/>
        <w:spacing w:after="60"/>
        <w:ind w:left="340"/>
      </w:pPr>
      <w:r/>
      <w:r>
        <w:rPr>
          <w:sz w:val="22"/>
        </w:rPr>
        <w:t>Démarchage actif des 50 premières communes du Grand Abidjan et de la SODECI urbaine.</w:t>
      </w:r>
    </w:p>
    <w:p>
      <w:pPr>
        <w:pStyle w:val="ListBullet"/>
        <w:spacing w:after="60"/>
        <w:ind w:left="340"/>
      </w:pPr>
      <w:r/>
      <w:r>
        <w:rPr>
          <w:sz w:val="22"/>
        </w:rPr>
        <w:t>Activation de la première vague FCM avec 3 institutions de référence.</w:t>
      </w:r>
    </w:p>
    <w:p>
      <w:pPr>
        <w:pStyle w:val="ListBullet"/>
        <w:spacing w:after="60"/>
        <w:ind w:left="340"/>
      </w:pPr>
      <w:r/>
      <w:r>
        <w:rPr>
          <w:sz w:val="22"/>
        </w:rPr>
        <w:t>Premier roadshow auprès de 10 députés influents — formule de parrainage.</w:t>
      </w:r>
    </w:p>
    <w:p>
      <w:pPr>
        <w:spacing w:before="280" w:after="80"/>
      </w:pPr>
      <w:r>
        <w:rPr>
          <w:rFonts w:ascii="Calibri" w:hAnsi="Calibri"/>
          <w:b/>
          <w:color w:val="0A2540"/>
          <w:sz w:val="26"/>
        </w:rPr>
        <w:t>Phase 3 — Croissance CI (M8 à M12)</w:t>
      </w:r>
    </w:p>
    <w:p>
      <w:pPr>
        <w:spacing w:after="120" w:line="300" w:lineRule="auto"/>
        <w:jc w:val="left"/>
      </w:pPr>
      <w:r>
        <w:rPr>
          <w:b/>
          <w:i w:val="0"/>
          <w:sz w:val="22"/>
        </w:rPr>
        <w:t>Objectif : 100 clients CI et 22 M FCFA ARR.</w:t>
      </w:r>
    </w:p>
    <w:p>
      <w:pPr>
        <w:pStyle w:val="ListBullet"/>
        <w:spacing w:after="60"/>
        <w:ind w:left="340"/>
      </w:pPr>
      <w:r/>
      <w:r>
        <w:rPr>
          <w:sz w:val="22"/>
        </w:rPr>
        <w:t>Pitch officiel à l'UVICOCI (Union des Villes et Communes de Côte d'Ivoire) — viser un partenariat ou une recommandation officielle.</w:t>
      </w:r>
    </w:p>
    <w:p>
      <w:pPr>
        <w:pStyle w:val="ListBullet"/>
        <w:spacing w:after="60"/>
        <w:ind w:left="340"/>
      </w:pPr>
      <w:r/>
      <w:r>
        <w:rPr>
          <w:sz w:val="22"/>
        </w:rPr>
        <w:t>Démarchage Assemblée Nationale par groupes parlementaires.</w:t>
      </w:r>
    </w:p>
    <w:p>
      <w:pPr>
        <w:pStyle w:val="ListBullet"/>
        <w:spacing w:after="60"/>
        <w:ind w:left="340"/>
      </w:pPr>
      <w:r/>
      <w:r>
        <w:rPr>
          <w:sz w:val="22"/>
        </w:rPr>
        <w:t>Programme "Ambassadeurs HERALDO" : 10 maires utilisateurs deviennent prescripteurs auprès de leurs pairs.</w:t>
      </w:r>
    </w:p>
    <w:p>
      <w:pPr>
        <w:pStyle w:val="ListBullet"/>
        <w:spacing w:after="60"/>
        <w:ind w:left="340"/>
      </w:pPr>
      <w:r/>
      <w:r>
        <w:rPr>
          <w:sz w:val="22"/>
        </w:rPr>
        <w:t>Activation des modules AMPLIFICATION et IMPACT comme upsell des clients existants.</w:t>
      </w:r>
    </w:p>
    <w:p>
      <w:pPr>
        <w:spacing w:before="280" w:after="80"/>
      </w:pPr>
      <w:r>
        <w:rPr>
          <w:rFonts w:ascii="Calibri" w:hAnsi="Calibri"/>
          <w:b/>
          <w:color w:val="0A2540"/>
          <w:sz w:val="26"/>
        </w:rPr>
        <w:t>Phase 4 — Sénégal (M12 à M18)</w:t>
      </w:r>
    </w:p>
    <w:p>
      <w:pPr>
        <w:spacing w:after="120" w:line="300" w:lineRule="auto"/>
        <w:jc w:val="left"/>
      </w:pPr>
      <w:r>
        <w:rPr>
          <w:b/>
          <w:i w:val="0"/>
          <w:sz w:val="22"/>
        </w:rPr>
        <w:t>Objectif : 50 clients Sénégal et 15 M FCFA ARR local.</w:t>
      </w:r>
    </w:p>
    <w:p>
      <w:pPr>
        <w:pStyle w:val="ListBullet"/>
        <w:spacing w:after="60"/>
        <w:ind w:left="340"/>
      </w:pPr>
      <w:r/>
      <w:r>
        <w:rPr>
          <w:sz w:val="22"/>
        </w:rPr>
        <w:t>Recrutement d'un Country Manager Sénégal basé à Dakar.</w:t>
      </w:r>
    </w:p>
    <w:p>
      <w:pPr>
        <w:pStyle w:val="ListBullet"/>
        <w:spacing w:after="60"/>
        <w:ind w:left="340"/>
      </w:pPr>
      <w:r/>
      <w:r>
        <w:rPr>
          <w:sz w:val="22"/>
        </w:rPr>
        <w:t>Partenariat avec l'équivalent local de l'Association (Association des Éditeurs de Presse du Sénégal).</w:t>
      </w:r>
    </w:p>
    <w:p>
      <w:pPr>
        <w:pStyle w:val="ListBullet"/>
        <w:spacing w:after="60"/>
        <w:ind w:left="340"/>
      </w:pPr>
      <w:r/>
      <w:r>
        <w:rPr>
          <w:sz w:val="22"/>
        </w:rPr>
        <w:t>Adaptation réglementaire : conformité CDP Sénégal et CNRA.</w:t>
      </w:r>
    </w:p>
    <w:p>
      <w:pPr>
        <w:spacing w:before="280" w:after="80"/>
      </w:pPr>
      <w:r>
        <w:rPr>
          <w:rFonts w:ascii="Calibri" w:hAnsi="Calibri"/>
          <w:b/>
          <w:color w:val="0A2540"/>
          <w:sz w:val="26"/>
        </w:rPr>
        <w:t>Phase 5 — Burkina Faso et Mali (M18 à M24)</w:t>
      </w:r>
    </w:p>
    <w:p>
      <w:pPr>
        <w:spacing w:after="120" w:line="300" w:lineRule="auto"/>
        <w:jc w:val="left"/>
      </w:pPr>
      <w:r>
        <w:rPr>
          <w:b/>
          <w:i w:val="0"/>
          <w:sz w:val="22"/>
        </w:rPr>
        <w:t>Objectif : 80 M FCFA ARR total UEMOA et marque HERALDO PRESS AFRICA établie.</w:t>
      </w:r>
    </w:p>
    <w:p>
      <w:pPr>
        <w:pStyle w:val="ListBullet"/>
        <w:spacing w:after="60"/>
        <w:ind w:left="340"/>
      </w:pPr>
      <w:r/>
      <w:r>
        <w:rPr>
          <w:sz w:val="22"/>
        </w:rPr>
        <w:t>Réplication du modèle Sénégal — Country Managers Ouagadougou et Bamako.</w:t>
      </w:r>
    </w:p>
    <w:p>
      <w:pPr>
        <w:pStyle w:val="ListBullet"/>
        <w:spacing w:after="60"/>
        <w:ind w:left="340"/>
      </w:pPr>
      <w:r/>
      <w:r>
        <w:rPr>
          <w:sz w:val="22"/>
        </w:rPr>
        <w:t>Première levée de fonds régionale envisageable (financement croissance UEMOA).</w:t>
      </w:r>
    </w:p>
    <w:p>
      <w:r>
        <w:br w:type="page"/>
      </w:r>
    </w:p>
    <w:p>
      <w:pPr>
        <w:spacing w:before="360" w:after="40"/>
        <w:pBdr>
          <w:bottom w:val="single" w:sz="12" w:color="B8862E"/>
        </w:pBdr>
      </w:pPr>
      <w:r>
        <w:rPr>
          <w:rFonts w:ascii="Georgia" w:hAnsi="Georgia"/>
          <w:b/>
          <w:color w:val="0A2540"/>
          <w:sz w:val="36"/>
        </w:rPr>
        <w:t>5. CANAUX D'ACQUISITION</w:t>
      </w:r>
    </w:p>
    <w:p>
      <w:pPr>
        <w:spacing w:after="120"/>
      </w:pPr>
    </w:p>
    <w:p>
      <w:pPr>
        <w:spacing w:before="280" w:after="80"/>
      </w:pPr>
      <w:r>
        <w:rPr>
          <w:rFonts w:ascii="Calibri" w:hAnsi="Calibri"/>
          <w:b/>
          <w:color w:val="0A2540"/>
          <w:sz w:val="26"/>
        </w:rPr>
        <w:t>Mix canaux et budget commercial annuel</w:t>
      </w:r>
    </w:p>
    <w:tbl>
      <w:tblPr>
        <w:tblW w:type="auto" w:w="0"/>
        <w:jc w:val="center"/>
        <w:tblLook w:firstColumn="1" w:firstRow="1" w:lastColumn="0" w:lastRow="0" w:noHBand="0" w:noVBand="1" w:val="04A0"/>
      </w:tblPr>
      <w:tblGrid>
        <w:gridCol w:w="2436"/>
        <w:gridCol w:w="2436"/>
        <w:gridCol w:w="2436"/>
        <w:gridCol w:w="2436"/>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Canal</w:t>
            </w:r>
          </w:p>
        </w:tc>
        <w:tc>
          <w:tcPr>
            <w:tcW w:type="dxa" w:w="1020"/>
            <w:shd w:val="clear" w:color="auto" w:fill="0A2540"/>
            <w:tcMar>
              <w:top w:w="120" w:type="dxa"/>
              <w:bottom w:w="120" w:type="dxa"/>
              <w:left w:w="140" w:type="dxa"/>
              <w:right w:w="140" w:type="dxa"/>
            </w:tcMar>
            <w:vAlign w:val="center"/>
          </w:tcPr>
          <w:p>
            <w:pPr>
              <w:jc w:val="left"/>
            </w:pPr>
            <w:r/>
            <w:r>
              <w:rPr>
                <w:b/>
                <w:color w:val="FFFFFF"/>
                <w:sz w:val="20"/>
              </w:rPr>
              <w:t>% effort</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Budget An 1</w:t>
            </w:r>
          </w:p>
        </w:tc>
        <w:tc>
          <w:tcPr>
            <w:tcW w:type="dxa" w:w="3118"/>
            <w:shd w:val="clear" w:color="auto" w:fill="0A2540"/>
            <w:tcMar>
              <w:top w:w="120" w:type="dxa"/>
              <w:bottom w:w="120" w:type="dxa"/>
              <w:left w:w="140" w:type="dxa"/>
              <w:right w:w="140" w:type="dxa"/>
            </w:tcMar>
            <w:vAlign w:val="center"/>
          </w:tcPr>
          <w:p>
            <w:pPr>
              <w:jc w:val="left"/>
            </w:pPr>
            <w:r/>
            <w:r>
              <w:rPr>
                <w:b/>
                <w:color w:val="FFFFFF"/>
                <w:sz w:val="20"/>
              </w:rPr>
              <w:t>Cible / Indicateur</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Vente directe (équipe sales)</w:t>
            </w:r>
          </w:p>
        </w:tc>
        <w:tc>
          <w:tcPr>
            <w:tcW w:type="dxa" w:w="102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45%</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1 800 000 FCFA</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 des signatures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Partenariat Association Publications</w:t>
            </w:r>
          </w:p>
        </w:tc>
        <w:tc>
          <w:tcPr>
            <w:tcW w:type="dxa" w:w="1020"/>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0 (commission)</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Crédibilité + leads médias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Événementiel et démos publiques</w:t>
            </w:r>
          </w:p>
        </w:tc>
        <w:tc>
          <w:tcPr>
            <w:tcW w:type="dxa" w:w="102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événements/an, 50 leads/événement</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Bouche-à-oreille (Ambassadeurs)</w:t>
            </w:r>
          </w:p>
        </w:tc>
        <w:tc>
          <w:tcPr>
            <w:tcW w:type="dxa" w:w="1020"/>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300 000 FCFA</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 des leads qualifiés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Réseaux sociaux et content</w:t>
            </w:r>
          </w:p>
        </w:tc>
        <w:tc>
          <w:tcPr>
            <w:tcW w:type="dxa" w:w="102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600 000 FCFA</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Notoriété + nurturing</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Relations presse / Média</w:t>
            </w:r>
          </w:p>
        </w:tc>
        <w:tc>
          <w:tcPr>
            <w:tcW w:type="dxa" w:w="1020"/>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200 000 FCFA</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Couverture institutionnelle</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SEO / SEM</w:t>
            </w:r>
          </w:p>
        </w:tc>
        <w:tc>
          <w:tcPr>
            <w:tcW w:type="dxa" w:w="102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100 000 FCFA</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Inbound long terme</w:t>
            </w:r>
          </w:p>
        </w:tc>
      </w:tr>
    </w:tbl>
    <w:p>
      <w:pPr>
        <w:spacing w:after="80"/>
      </w:pPr>
    </w:p>
    <w:p>
      <w:pPr>
        <w:spacing w:before="280" w:after="80"/>
      </w:pPr>
      <w:r>
        <w:rPr>
          <w:rFonts w:ascii="Calibri" w:hAnsi="Calibri"/>
          <w:b/>
          <w:color w:val="0A2540"/>
          <w:sz w:val="26"/>
        </w:rPr>
        <w:t>Stratégie événementielle</w:t>
      </w:r>
    </w:p>
    <w:p>
      <w:pPr>
        <w:spacing w:after="120" w:line="300" w:lineRule="auto"/>
        <w:jc w:val="left"/>
      </w:pPr>
      <w:r>
        <w:rPr>
          <w:b w:val="0"/>
          <w:i w:val="0"/>
          <w:sz w:val="22"/>
        </w:rPr>
        <w:t>Trois formats événementiels structurants pour bâtir la marque et capter des leads :</w:t>
      </w:r>
    </w:p>
    <w:p>
      <w:pPr>
        <w:spacing w:before="160" w:after="40"/>
      </w:pPr>
      <w:r>
        <w:rPr>
          <w:b/>
          <w:color w:val="B8862E"/>
          <w:sz w:val="22"/>
        </w:rPr>
        <w:t>« Le Petit Déjeuner HERALDO PRESS » — mensuel</w:t>
      </w:r>
    </w:p>
    <w:p>
      <w:pPr>
        <w:spacing w:after="120" w:line="300" w:lineRule="auto"/>
        <w:jc w:val="left"/>
      </w:pPr>
      <w:r>
        <w:rPr>
          <w:b w:val="0"/>
          <w:i w:val="0"/>
          <w:sz w:val="22"/>
        </w:rPr>
        <w:t>Format intimiste à Abidjan (Sofitel Hôtel Ivoire ou similaire), 15-20 décideurs invités, 2 heures, démonstration produit + témoignage client + networking. Coût : 400 000 FCFA. ROI cible : 3-5 abonnements signés par session.</w:t>
      </w:r>
    </w:p>
    <w:p>
      <w:pPr>
        <w:spacing w:before="160" w:after="40"/>
      </w:pPr>
      <w:r>
        <w:rPr>
          <w:b/>
          <w:color w:val="B8862E"/>
          <w:sz w:val="22"/>
        </w:rPr>
        <w:t>« HERALDO PRESS Days » — trimestriel</w:t>
      </w:r>
    </w:p>
    <w:p>
      <w:pPr>
        <w:spacing w:after="120" w:line="300" w:lineRule="auto"/>
        <w:jc w:val="left"/>
      </w:pPr>
      <w:r>
        <w:rPr>
          <w:b w:val="0"/>
          <w:i w:val="0"/>
          <w:sz w:val="22"/>
        </w:rPr>
        <w:t>Format conférence pour 100-150 personnes, intervenants institutionnels et journalistes de référence, captation vidéo et diffusion AGORA. Coût : 1 500 000 FCFA. ROI cible : 15-25 leads qualifiés.</w:t>
      </w:r>
    </w:p>
    <w:p>
      <w:pPr>
        <w:spacing w:before="160" w:after="40"/>
      </w:pPr>
      <w:r>
        <w:rPr>
          <w:b/>
          <w:color w:val="B8862E"/>
          <w:sz w:val="22"/>
        </w:rPr>
        <w:t>« Tournée des Régions » — semestriel</w:t>
      </w:r>
    </w:p>
    <w:p>
      <w:pPr>
        <w:spacing w:after="120" w:line="300" w:lineRule="auto"/>
        <w:jc w:val="left"/>
      </w:pPr>
      <w:r>
        <w:rPr>
          <w:b w:val="0"/>
          <w:i w:val="0"/>
          <w:sz w:val="22"/>
        </w:rPr>
        <w:t>Tournée de 5 villes (Bouaké, Korhogo, San Pedro, Daloa, Yamoussoukro) avec démos locales. Coût : 1 000 000 FCFA par tournée. ROI cible : 10 mairies signées par tournée.</w:t>
      </w:r>
    </w:p>
    <w:p>
      <w:pPr>
        <w:spacing w:before="360" w:after="40"/>
        <w:pBdr>
          <w:bottom w:val="single" w:sz="12" w:color="B8862E"/>
        </w:pBdr>
      </w:pPr>
      <w:r>
        <w:rPr>
          <w:rFonts w:ascii="Georgia" w:hAnsi="Georgia"/>
          <w:b/>
          <w:color w:val="0A2540"/>
          <w:sz w:val="36"/>
        </w:rPr>
        <w:t>6. POLITIQUE TARIFAIRE ET CONDITIONS COMMERCIALES</w:t>
      </w:r>
    </w:p>
    <w:p>
      <w:pPr>
        <w:spacing w:after="120"/>
      </w:pPr>
    </w:p>
    <w:p>
      <w:pPr>
        <w:spacing w:before="280" w:after="80"/>
      </w:pPr>
      <w:r>
        <w:rPr>
          <w:rFonts w:ascii="Calibri" w:hAnsi="Calibri"/>
          <w:b/>
          <w:color w:val="0A2540"/>
          <w:sz w:val="26"/>
        </w:rPr>
        <w:t>Grille publique abonnements annuels</w:t>
      </w:r>
    </w:p>
    <w:tbl>
      <w:tblPr>
        <w:tblW w:type="auto" w:w="0"/>
        <w:jc w:val="center"/>
        <w:tblLook w:firstColumn="1" w:firstRow="1" w:lastColumn="0" w:lastRow="0" w:noHBand="0" w:noVBand="1" w:val="04A0"/>
      </w:tblPr>
      <w:tblGrid>
        <w:gridCol w:w="2436"/>
        <w:gridCol w:w="2436"/>
        <w:gridCol w:w="2436"/>
        <w:gridCol w:w="2436"/>
      </w:tblGrid>
      <w:tr>
        <w:tc>
          <w:tcPr>
            <w:tcW w:type="dxa" w:w="1984"/>
            <w:shd w:val="clear" w:color="auto" w:fill="0A2540"/>
            <w:tcMar>
              <w:top w:w="120" w:type="dxa"/>
              <w:bottom w:w="120" w:type="dxa"/>
              <w:left w:w="140" w:type="dxa"/>
              <w:right w:w="140" w:type="dxa"/>
            </w:tcMar>
            <w:vAlign w:val="center"/>
          </w:tcPr>
          <w:p>
            <w:pPr>
              <w:jc w:val="left"/>
            </w:pPr>
            <w:r/>
            <w:r>
              <w:rPr>
                <w:b/>
                <w:color w:val="FFFFFF"/>
                <w:sz w:val="20"/>
              </w:rPr>
              <w:t>Formule</w:t>
            </w:r>
          </w:p>
        </w:tc>
        <w:tc>
          <w:tcPr>
            <w:tcW w:type="dxa" w:w="1701"/>
            <w:shd w:val="clear" w:color="auto" w:fill="0A2540"/>
            <w:tcMar>
              <w:top w:w="120" w:type="dxa"/>
              <w:bottom w:w="120" w:type="dxa"/>
              <w:left w:w="140" w:type="dxa"/>
              <w:right w:w="140" w:type="dxa"/>
            </w:tcMar>
            <w:vAlign w:val="center"/>
          </w:tcPr>
          <w:p>
            <w:pPr>
              <w:jc w:val="left"/>
            </w:pPr>
            <w:r/>
            <w:r>
              <w:rPr>
                <w:b/>
                <w:color w:val="FFFFFF"/>
                <w:sz w:val="20"/>
              </w:rPr>
              <w:t>Cible</w:t>
            </w:r>
          </w:p>
        </w:tc>
        <w:tc>
          <w:tcPr>
            <w:tcW w:type="dxa" w:w="1417"/>
            <w:shd w:val="clear" w:color="auto" w:fill="0A2540"/>
            <w:tcMar>
              <w:top w:w="120" w:type="dxa"/>
              <w:bottom w:w="120" w:type="dxa"/>
              <w:left w:w="140" w:type="dxa"/>
              <w:right w:w="140" w:type="dxa"/>
            </w:tcMar>
            <w:vAlign w:val="center"/>
          </w:tcPr>
          <w:p>
            <w:pPr>
              <w:jc w:val="left"/>
            </w:pPr>
            <w:r/>
            <w:r>
              <w:rPr>
                <w:b/>
                <w:color w:val="FFFFFF"/>
                <w:sz w:val="20"/>
              </w:rPr>
              <w:t>Prix annuel HT</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Inclus dans l'abonnement</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ÉLU</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Députés, conseillers</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communiqués/mois · 1 salle Standard/trim · reporting de base</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MAIRIE</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Communes</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480 000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communiqués/mois · 1 salle AGORA/mois · studio · reporting</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INSTITUTION</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Ministères, directions</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Communiqués illimités · 2 salles/mois · API · reporting avancé</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AGENCE</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Agences RP</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720 000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comptes clients · salles · studio · marque blanche</w:t>
            </w:r>
          </w:p>
        </w:tc>
      </w:tr>
    </w:tbl>
    <w:p>
      <w:pPr>
        <w:spacing w:after="80"/>
      </w:pPr>
    </w:p>
    <w:p>
      <w:pPr>
        <w:spacing w:before="280" w:after="80"/>
      </w:pPr>
      <w:r>
        <w:rPr>
          <w:rFonts w:ascii="Calibri" w:hAnsi="Calibri"/>
          <w:b/>
          <w:color w:val="0A2540"/>
          <w:sz w:val="26"/>
        </w:rPr>
        <w:t>Services à l'acte (hors abonnement)</w:t>
      </w:r>
    </w:p>
    <w:tbl>
      <w:tblPr>
        <w:tblW w:type="auto" w:w="0"/>
        <w:jc w:val="center"/>
        <w:tblLook w:firstColumn="1" w:firstRow="1" w:lastColumn="0" w:lastRow="0" w:noHBand="0" w:noVBand="1" w:val="04A0"/>
      </w:tblPr>
      <w:tblGrid>
        <w:gridCol w:w="3249"/>
        <w:gridCol w:w="3249"/>
        <w:gridCol w:w="3249"/>
      </w:tblGrid>
      <w:tr>
        <w:tc>
          <w:tcPr>
            <w:tcW w:type="dxa" w:w="3685"/>
            <w:shd w:val="clear" w:color="auto" w:fill="0A2540"/>
            <w:tcMar>
              <w:top w:w="120" w:type="dxa"/>
              <w:bottom w:w="120" w:type="dxa"/>
              <w:left w:w="140" w:type="dxa"/>
              <w:right w:w="140" w:type="dxa"/>
            </w:tcMar>
            <w:vAlign w:val="center"/>
          </w:tcPr>
          <w:p>
            <w:pPr>
              <w:jc w:val="left"/>
            </w:pPr>
            <w:r/>
            <w:r>
              <w:rPr>
                <w:b/>
                <w:color w:val="FFFFFF"/>
                <w:sz w:val="20"/>
              </w:rPr>
              <w:t>Service</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Tarif</w:t>
            </w:r>
          </w:p>
        </w:tc>
        <w:tc>
          <w:tcPr>
            <w:tcW w:type="dxa" w:w="3118"/>
            <w:shd w:val="clear" w:color="auto" w:fill="0A2540"/>
            <w:tcMar>
              <w:top w:w="120" w:type="dxa"/>
              <w:bottom w:w="120" w:type="dxa"/>
              <w:left w:w="140" w:type="dxa"/>
              <w:right w:w="140" w:type="dxa"/>
            </w:tcMar>
            <w:vAlign w:val="center"/>
          </w:tcPr>
          <w:p>
            <w:pPr>
              <w:jc w:val="left"/>
            </w:pPr>
            <w:r/>
            <w:r>
              <w:rPr>
                <w:b/>
                <w:color w:val="FFFFFF"/>
                <w:sz w:val="20"/>
              </w:rPr>
              <w:t>Notes</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AGORA Standard (50 part.)</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75 000 FCFA</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Replay 30 jours</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AGORA Premium (200 part.)</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150 000 FCFA</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Kit média inclus, replay 60 jours</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AGORA Nationale (500+ part.)</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350 000 FCFA</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Streaming pro, replay 90 jours</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Amplification 360°</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35 000 FCFA</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Social + WhatsApp + influenceurs</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Rédaction communiqué (studio)</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15 000 FCFA</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Par communiqué rédigé</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Dossier de presse complet</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75 000 FCFA</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Rédaction + mise en forme + diffusion</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Influenceurs CI</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50 000 – 200 000 FCFA</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Selon portée et volume</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Commission FCM</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Sur chaque transaction validée</w:t>
            </w:r>
          </w:p>
        </w:tc>
      </w:tr>
    </w:tbl>
    <w:p>
      <w:pPr>
        <w:spacing w:after="80"/>
      </w:pPr>
    </w:p>
    <w:p>
      <w:pPr>
        <w:spacing w:before="280" w:after="80"/>
      </w:pPr>
      <w:r>
        <w:rPr>
          <w:rFonts w:ascii="Calibri" w:hAnsi="Calibri"/>
          <w:b/>
          <w:color w:val="0A2540"/>
          <w:sz w:val="26"/>
        </w:rPr>
        <w:t>Conditions commerciales et leviers de négociation</w:t>
      </w:r>
    </w:p>
    <w:p>
      <w:pPr>
        <w:pStyle w:val="ListBullet"/>
        <w:spacing w:after="60"/>
        <w:ind w:left="340"/>
      </w:pPr>
      <w:r/>
      <w:r>
        <w:rPr>
          <w:sz w:val="22"/>
        </w:rPr>
        <w:t>Démo gratuite 30 jours avec accès limité (2 communiqués + 1 salle de 15 min) — accélère la décision.</w:t>
      </w:r>
    </w:p>
    <w:p>
      <w:pPr>
        <w:pStyle w:val="ListBullet"/>
        <w:spacing w:after="60"/>
        <w:ind w:left="340"/>
      </w:pPr>
      <w:r/>
      <w:r>
        <w:rPr>
          <w:sz w:val="22"/>
        </w:rPr>
        <w:t>Premier point de presse offert pour toute signature d'abonnement annuel — réduction immédiate de la friction d'achat.</w:t>
      </w:r>
    </w:p>
    <w:p>
      <w:pPr>
        <w:pStyle w:val="ListBullet"/>
        <w:spacing w:after="60"/>
        <w:ind w:left="340"/>
      </w:pPr>
      <w:r/>
      <w:r>
        <w:rPr>
          <w:sz w:val="22"/>
        </w:rPr>
        <w:t>Engagement annuel facturé en totalité à la signature (RG-02) — pas de mensualisation pour préserver le cash.</w:t>
      </w:r>
    </w:p>
    <w:p>
      <w:pPr>
        <w:pStyle w:val="ListBullet"/>
        <w:spacing w:after="60"/>
        <w:ind w:left="340"/>
      </w:pPr>
      <w:r/>
      <w:r>
        <w:rPr>
          <w:sz w:val="22"/>
        </w:rPr>
        <w:t>Remise de 10% pour engagement 24 mois — fidélisation premium.</w:t>
      </w:r>
    </w:p>
    <w:p>
      <w:pPr>
        <w:pStyle w:val="ListBullet"/>
        <w:spacing w:after="60"/>
        <w:ind w:left="340"/>
      </w:pPr>
      <w:r/>
      <w:r>
        <w:rPr>
          <w:sz w:val="22"/>
        </w:rPr>
        <w:t>Tarification UVICOCI / Association : -15% pour signature groupée par leur intermédiaire.</w:t>
      </w:r>
    </w:p>
    <w:p>
      <w:pPr>
        <w:pStyle w:val="ListBullet"/>
        <w:spacing w:after="60"/>
        <w:ind w:left="340"/>
      </w:pPr>
      <w:r/>
      <w:r>
        <w:rPr>
          <w:sz w:val="22"/>
        </w:rPr>
        <w:t>Programme Ambassadeur : 1 mois d'abonnement offert pour chaque nouveau client parrainé signant.</w:t>
      </w:r>
    </w:p>
    <w:p>
      <w:r>
        <w:br w:type="page"/>
      </w:r>
    </w:p>
    <w:p>
      <w:pPr>
        <w:spacing w:before="360" w:after="40"/>
        <w:pBdr>
          <w:bottom w:val="single" w:sz="12" w:color="B8862E"/>
        </w:pBdr>
      </w:pPr>
      <w:r>
        <w:rPr>
          <w:rFonts w:ascii="Georgia" w:hAnsi="Georgia"/>
          <w:b/>
          <w:color w:val="0A2540"/>
          <w:sz w:val="36"/>
        </w:rPr>
        <w:t>7. PIPELINE COMMERCIAL — MÉTHODOLOGIE</w:t>
      </w:r>
    </w:p>
    <w:p>
      <w:pPr>
        <w:spacing w:after="120"/>
      </w:pPr>
    </w:p>
    <w:p>
      <w:pPr>
        <w:spacing w:before="280" w:after="80"/>
      </w:pPr>
      <w:r>
        <w:rPr>
          <w:rFonts w:ascii="Calibri" w:hAnsi="Calibri"/>
          <w:b/>
          <w:color w:val="0A2540"/>
          <w:sz w:val="26"/>
        </w:rPr>
        <w:t>Funnel de conversion cible</w:t>
      </w: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Étape</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Conversion attendue</w:t>
            </w:r>
          </w:p>
        </w:tc>
        <w:tc>
          <w:tcPr>
            <w:tcW w:type="dxa" w:w="3685"/>
            <w:shd w:val="clear" w:color="auto" w:fill="0A2540"/>
            <w:tcMar>
              <w:top w:w="120" w:type="dxa"/>
              <w:bottom w:w="120" w:type="dxa"/>
              <w:left w:w="140" w:type="dxa"/>
              <w:right w:w="140" w:type="dxa"/>
            </w:tcMar>
            <w:vAlign w:val="center"/>
          </w:tcPr>
          <w:p>
            <w:pPr>
              <w:jc w:val="left"/>
            </w:pPr>
            <w:r/>
            <w:r>
              <w:rPr>
                <w:b/>
                <w:color w:val="FFFFFF"/>
                <w:sz w:val="20"/>
              </w:rPr>
              <w:t>Volume mensuel cible (An 1)</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Leads bruts (toutes sources)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100%</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 leads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Leads qualifiés (BANT validé)</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40%</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32 leads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Démo réalisée</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 des qualifiés</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19 démos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Devis émis</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70% des démos</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13 devis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Signature contrat</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 des devis</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signatures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Taux global lead → client</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bl>
    <w:p>
      <w:pPr>
        <w:spacing w:after="80"/>
      </w:pPr>
    </w:p>
    <w:p>
      <w:pPr>
        <w:spacing w:before="280" w:after="80"/>
      </w:pPr>
      <w:r>
        <w:rPr>
          <w:rFonts w:ascii="Calibri" w:hAnsi="Calibri"/>
          <w:b/>
          <w:color w:val="0A2540"/>
          <w:sz w:val="26"/>
        </w:rPr>
        <w:t>Cycle de vente standard — 7 étapes</w:t>
      </w:r>
    </w:p>
    <w:p>
      <w:pPr>
        <w:pStyle w:val="ListBullet"/>
        <w:spacing w:after="60"/>
        <w:ind w:left="340"/>
      </w:pPr>
      <w:r/>
      <w:r>
        <w:rPr>
          <w:sz w:val="22"/>
        </w:rPr>
        <w:t>Étape 1 — Prospection : identification du décideur, prise de contact (LinkedIn, intro, événement). Délai : J+0 à J+7.</w:t>
      </w:r>
    </w:p>
    <w:p>
      <w:pPr>
        <w:pStyle w:val="ListBullet"/>
        <w:spacing w:after="60"/>
        <w:ind w:left="340"/>
      </w:pPr>
      <w:r/>
      <w:r>
        <w:rPr>
          <w:sz w:val="22"/>
        </w:rPr>
        <w:t>Étape 2 — Découverte : entretien de qualification 30 min. BANT (Budget, Authority, Need, Timing). Délai : J+7 à J+14.</w:t>
      </w:r>
    </w:p>
    <w:p>
      <w:pPr>
        <w:pStyle w:val="ListBullet"/>
        <w:spacing w:after="60"/>
        <w:ind w:left="340"/>
      </w:pPr>
      <w:r/>
      <w:r>
        <w:rPr>
          <w:sz w:val="22"/>
        </w:rPr>
        <w:t>Étape 3 — Démonstration : démo personnalisée 45 min en présentiel ou via AGORA. Délai : J+14 à J+21.</w:t>
      </w:r>
    </w:p>
    <w:p>
      <w:pPr>
        <w:pStyle w:val="ListBullet"/>
        <w:spacing w:after="60"/>
        <w:ind w:left="340"/>
      </w:pPr>
      <w:r/>
      <w:r>
        <w:rPr>
          <w:sz w:val="22"/>
        </w:rPr>
        <w:t>Étape 4 — Test : activation démo gratuite 30 jours avec accompagnement. Délai : J+21 à J+51.</w:t>
      </w:r>
    </w:p>
    <w:p>
      <w:pPr>
        <w:pStyle w:val="ListBullet"/>
        <w:spacing w:after="60"/>
        <w:ind w:left="340"/>
      </w:pPr>
      <w:r/>
      <w:r>
        <w:rPr>
          <w:sz w:val="22"/>
        </w:rPr>
        <w:t>Étape 5 — Devis et négociation : proposition formelle, négociation conditions. Délai : J+51 à J+65.</w:t>
      </w:r>
    </w:p>
    <w:p>
      <w:pPr>
        <w:pStyle w:val="ListBullet"/>
        <w:spacing w:after="60"/>
        <w:ind w:left="340"/>
      </w:pPr>
      <w:r/>
      <w:r>
        <w:rPr>
          <w:sz w:val="22"/>
        </w:rPr>
        <w:t>Étape 6 — Signature : contrat + premier paiement. Délai : J+65 à J+75.</w:t>
      </w:r>
    </w:p>
    <w:p>
      <w:pPr>
        <w:pStyle w:val="ListBullet"/>
        <w:spacing w:after="60"/>
        <w:ind w:left="340"/>
      </w:pPr>
      <w:r/>
      <w:r>
        <w:rPr>
          <w:sz w:val="22"/>
        </w:rPr>
        <w:t>Étape 7 — Onboarding : prise en main, formation, premier communiqué dans les 7 jours suivant signature.</w:t>
      </w:r>
    </w:p>
    <w:p>
      <w:pPr>
        <w:spacing w:before="360" w:after="40"/>
        <w:pBdr>
          <w:bottom w:val="single" w:sz="12" w:color="B8862E"/>
        </w:pBdr>
      </w:pPr>
      <w:r>
        <w:rPr>
          <w:rFonts w:ascii="Georgia" w:hAnsi="Georgia"/>
          <w:b/>
          <w:color w:val="0A2540"/>
          <w:sz w:val="36"/>
        </w:rPr>
        <w:t>8. KPIS COMMERCIAUX ET REPORTING</w:t>
      </w:r>
    </w:p>
    <w:p>
      <w:pPr>
        <w:spacing w:after="120"/>
      </w:pPr>
    </w:p>
    <w:tbl>
      <w:tblPr>
        <w:tblW w:type="auto" w:w="0"/>
        <w:jc w:val="center"/>
        <w:tblLook w:firstColumn="1" w:firstRow="1" w:lastColumn="0" w:lastRow="0" w:noHBand="0" w:noVBand="1" w:val="04A0"/>
      </w:tblPr>
      <w:tblGrid>
        <w:gridCol w:w="2436"/>
        <w:gridCol w:w="2436"/>
        <w:gridCol w:w="2436"/>
        <w:gridCol w:w="2436"/>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Indicateur</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Cible An 1</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Cible An 2</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Cible An 3</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Nouveaux clients signés / mois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Coût d'acquisition client (CAC)</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80 000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60 000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50 000 FCFA</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LTV (Life Time Value) moyen</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2 500 000 FCFA</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Ratio LTV/CAC</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&gt; 18x</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&gt; 30x</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&gt; 50x</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Taux de churn annuel</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15%</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10%</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8%</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NPS (Net Promoter Score)</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&gt; 40</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&gt; 55</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&gt; 65</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Délai moyen de signature</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60 jours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45 jours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30 jours</w:t>
            </w:r>
          </w:p>
        </w:tc>
      </w:tr>
    </w:tbl>
    <w:p>
      <w:pPr>
        <w:spacing w:after="80"/>
      </w:pPr>
    </w:p>
    <w:p>
      <w:pPr>
        <w:spacing w:before="360" w:after="40"/>
        <w:pBdr>
          <w:bottom w:val="single" w:sz="12" w:color="B8862E"/>
        </w:pBdr>
      </w:pPr>
      <w:r>
        <w:rPr>
          <w:rFonts w:ascii="Georgia" w:hAnsi="Georgia"/>
          <w:b/>
          <w:color w:val="0A2540"/>
          <w:sz w:val="36"/>
        </w:rPr>
        <w:t>9. STRATÉGIE DE PARTENARIATS</w:t>
      </w:r>
    </w:p>
    <w:p>
      <w:pPr>
        <w:spacing w:after="120"/>
      </w:pPr>
    </w:p>
    <w:p>
      <w:pPr>
        <w:spacing w:before="280" w:after="80"/>
      </w:pPr>
      <w:r>
        <w:rPr>
          <w:rFonts w:ascii="Calibri" w:hAnsi="Calibri"/>
          <w:b/>
          <w:color w:val="0A2540"/>
          <w:sz w:val="26"/>
        </w:rPr>
        <w:t>Partenariat stratégique fondateur — Association des Directeurs de Publications</w:t>
      </w:r>
    </w:p>
    <w:p>
      <w:pPr>
        <w:spacing w:after="120" w:line="300" w:lineRule="auto"/>
        <w:jc w:val="both"/>
      </w:pPr>
      <w:r>
        <w:rPr>
          <w:b w:val="0"/>
          <w:i w:val="0"/>
          <w:sz w:val="22"/>
        </w:rPr>
        <w:t>Pierre angulaire de la stratégie. Sans ce partenariat, HERALDO PRESS serait une place de marché sans vendeurs. Structure proposée :</w:t>
      </w: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HERALDO PRESS apporte</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L'Association apporte</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Commission reversée sur chaque FCM versé à leurs membres</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Réseau de médias embarqués dès le J1</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Badge "Partenaire officiel" sur la plateforme</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Crédibilité éditoriale auprès des institutions</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Accès gratuit à la salle AGORA pour leurs AG</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Caution réglementaire CNPCI / HACA</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Tableau de bord des revenus FCM membres</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Exclusivité réseau médias CI sur 12 mois</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Formation gratuite des membres à la plateforme</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Participation à la gouvernance éditoriale</w:t>
            </w:r>
          </w:p>
        </w:tc>
      </w:tr>
    </w:tbl>
    <w:p>
      <w:pPr>
        <w:spacing w:after="80"/>
      </w:pPr>
    </w:p>
    <w:p>
      <w:pPr>
        <w:spacing w:before="280" w:after="80"/>
      </w:pPr>
      <w:r>
        <w:rPr>
          <w:rFonts w:ascii="Calibri" w:hAnsi="Calibri"/>
          <w:b/>
          <w:color w:val="0A2540"/>
          <w:sz w:val="26"/>
        </w:rPr>
        <w:t>Partenariats secondaires à activer</w:t>
      </w:r>
    </w:p>
    <w:p>
      <w:pPr>
        <w:pStyle w:val="ListBullet"/>
        <w:spacing w:after="60"/>
        <w:ind w:left="340"/>
      </w:pPr>
      <w:r/>
      <w:r>
        <w:rPr>
          <w:sz w:val="22"/>
        </w:rPr>
        <w:t>UVICOCI (Union des Villes et Communes de CI) — recommandation institutionnelle aux 201 communes.</w:t>
      </w:r>
    </w:p>
    <w:p>
      <w:pPr>
        <w:pStyle w:val="ListBullet"/>
        <w:spacing w:after="60"/>
        <w:ind w:left="340"/>
      </w:pPr>
      <w:r/>
      <w:r>
        <w:rPr>
          <w:sz w:val="22"/>
        </w:rPr>
        <w:t>Wave et Orange Money — partenariats commerciaux et co-marketing autour du FCM.</w:t>
      </w:r>
    </w:p>
    <w:p>
      <w:pPr>
        <w:pStyle w:val="ListBullet"/>
        <w:spacing w:after="60"/>
        <w:ind w:left="340"/>
      </w:pPr>
      <w:r/>
      <w:r>
        <w:rPr>
          <w:sz w:val="22"/>
        </w:rPr>
        <w:t>PNUD / UE / GIZ — financement de programmes de transparence dans la gouvernance locale (axe redevabilité).</w:t>
      </w:r>
    </w:p>
    <w:p>
      <w:pPr>
        <w:pStyle w:val="ListBullet"/>
        <w:spacing w:after="60"/>
        <w:ind w:left="340"/>
      </w:pPr>
      <w:r/>
      <w:r>
        <w:rPr>
          <w:sz w:val="22"/>
        </w:rPr>
        <w:t>Écoles de journalisme (ISTC, ENJ) — formation des nouveaux journalistes sur HERALDO PRESS dès leur sortie.</w:t>
      </w:r>
    </w:p>
    <w:p>
      <w:pPr>
        <w:pStyle w:val="ListBullet"/>
        <w:spacing w:after="60"/>
        <w:ind w:left="340"/>
      </w:pPr>
      <w:r/>
      <w:r>
        <w:rPr>
          <w:sz w:val="22"/>
        </w:rPr>
        <w:t>Chambres de Commerce CCI-CI — accès aux grandes entreprises clientes potentielles.</w:t>
      </w:r>
    </w:p>
    <w:p>
      <w:pPr>
        <w:spacing w:before="360" w:after="40"/>
        <w:pBdr>
          <w:bottom w:val="single" w:sz="12" w:color="B8862E"/>
        </w:pBdr>
      </w:pPr>
      <w:r>
        <w:rPr>
          <w:rFonts w:ascii="Georgia" w:hAnsi="Georgia"/>
          <w:b/>
          <w:color w:val="0A2540"/>
          <w:sz w:val="36"/>
        </w:rPr>
        <w:t>10. RISQUES COMMERCIAUX ET PLANS DE MITIGATION</w:t>
      </w:r>
    </w:p>
    <w:p>
      <w:pPr>
        <w:spacing w:after="120"/>
      </w:pP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Risque commercial</w:t>
            </w:r>
          </w:p>
        </w:tc>
        <w:tc>
          <w:tcPr>
            <w:tcW w:type="dxa" w:w="1417"/>
            <w:shd w:val="clear" w:color="auto" w:fill="0A2540"/>
            <w:tcMar>
              <w:top w:w="120" w:type="dxa"/>
              <w:bottom w:w="120" w:type="dxa"/>
              <w:left w:w="140" w:type="dxa"/>
              <w:right w:w="140" w:type="dxa"/>
            </w:tcMar>
            <w:vAlign w:val="center"/>
          </w:tcPr>
          <w:p>
            <w:pPr>
              <w:jc w:val="left"/>
            </w:pPr>
            <w:r/>
            <w:r>
              <w:rPr>
                <w:b/>
                <w:color w:val="FFFFFF"/>
                <w:sz w:val="20"/>
              </w:rPr>
              <w:t>Probabilité</w:t>
            </w:r>
          </w:p>
        </w:tc>
        <w:tc>
          <w:tcPr>
            <w:tcW w:type="dxa" w:w="4819"/>
            <w:shd w:val="clear" w:color="auto" w:fill="0A2540"/>
            <w:tcMar>
              <w:top w:w="120" w:type="dxa"/>
              <w:bottom w:w="120" w:type="dxa"/>
              <w:left w:w="140" w:type="dxa"/>
              <w:right w:w="140" w:type="dxa"/>
            </w:tcMar>
            <w:vAlign w:val="center"/>
          </w:tcPr>
          <w:p>
            <w:pPr>
              <w:jc w:val="left"/>
            </w:pPr>
            <w:r/>
            <w:r>
              <w:rPr>
                <w:b/>
                <w:color w:val="FFFFFF"/>
                <w:sz w:val="20"/>
              </w:rPr>
              <w:t>Mitigation</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Cycle de vente plus long que prévu sur ministères</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Forte</w:t>
            </w:r>
          </w:p>
        </w:tc>
        <w:tc>
          <w:tcPr>
            <w:tcW w:type="dxa" w:w="481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Démarrer par mairies et députés (cycles courts), construire des références avant de s'attaquer aux ministères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Refus de digitaliser le per diem (résistance des journalistes)</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Moyenne</w:t>
            </w:r>
          </w:p>
        </w:tc>
        <w:tc>
          <w:tcPr>
            <w:tcW w:type="dxa" w:w="481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Onboarding via Association + montants FCM compétitifs + paiement rapide</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Concurrence d'une agence locale qui copie le modèle</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Faible</w:t>
            </w:r>
          </w:p>
        </w:tc>
        <w:tc>
          <w:tcPr>
            <w:tcW w:type="dxa" w:w="481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Vitesse d'exécution + verrou Association + base RÉSEAU</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Année électorale qui gèle les budgets institutionnels</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Variable</w:t>
            </w:r>
          </w:p>
        </w:tc>
        <w:tc>
          <w:tcPr>
            <w:tcW w:type="dxa" w:w="481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Diversifier vers entreprises et ONG en parallèle</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Difficulté à recruter un Country Manager Sénégal</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Moyenne</w:t>
            </w:r>
          </w:p>
        </w:tc>
        <w:tc>
          <w:tcPr>
            <w:tcW w:type="dxa" w:w="481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Sourcing dès M9 + partenariat plutôt que filiale au démarrage</w:t>
            </w:r>
          </w:p>
        </w:tc>
      </w:tr>
    </w:tbl>
    <w:p>
      <w:pPr>
        <w:spacing w:after="80"/>
      </w:pP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Stratégie commerciale globale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