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3600000" cy="1101000"/>
            <wp:docPr id="1" name="Picture 1"/>
            <wp:cNvGraphicFramePr>
              <a:graphicFrameLocks noChangeAspect="1"/>
            </wp:cNvGraphicFramePr>
            <a:graphic>
              <a:graphicData uri="http://schemas.openxmlformats.org/drawingml/2006/picture">
                <pic:pic>
                  <pic:nvPicPr>
                    <pic:cNvPr id="0" name="logo_principal.png"/>
                    <pic:cNvPicPr/>
                  </pic:nvPicPr>
                  <pic:blipFill>
                    <a:blip r:embed="rId9"/>
                    <a:stretch>
                      <a:fillRect/>
                    </a:stretch>
                  </pic:blipFill>
                  <pic:spPr>
                    <a:xfrm>
                      <a:off x="0" y="0"/>
                      <a:ext cx="3600000" cy="1101000"/>
                    </a:xfrm>
                    <a:prstGeom prst="rect"/>
                  </pic:spPr>
                </pic:pic>
              </a:graphicData>
            </a:graphic>
          </wp:inline>
        </w:drawing>
      </w:r>
    </w:p>
    <w:p/>
    <w:p/>
    <w:p/>
    <w:p>
      <w:pPr>
        <w:spacing w:after="120"/>
        <w:jc w:val="center"/>
      </w:pPr>
      <w:r>
        <w:rPr>
          <w:rFonts w:ascii="Calibri" w:hAnsi="Calibri"/>
          <w:b/>
          <w:color w:val="B8862E"/>
          <w:sz w:val="28"/>
        </w:rPr>
        <w:t>PLAN D'AFFAIRES CONSOLIDÉ</w:t>
      </w:r>
    </w:p>
    <w:p>
      <w:pPr>
        <w:spacing w:after="240"/>
        <w:jc w:val="center"/>
      </w:pPr>
      <w:r>
        <w:rPr>
          <w:rFonts w:ascii="Georgia" w:hAnsi="Georgia"/>
          <w:b/>
          <w:color w:val="0A2540"/>
          <w:sz w:val="56"/>
        </w:rPr>
        <w:t>Business Plan</w:t>
      </w:r>
    </w:p>
    <w:p>
      <w:pPr>
        <w:spacing w:after="720"/>
        <w:jc w:val="center"/>
      </w:pPr>
      <w:r>
        <w:rPr>
          <w:i/>
          <w:color w:val="5A6470"/>
          <w:sz w:val="26"/>
        </w:rPr>
        <w:t>Plan d'affaires détaillé sur 36 mois</w:t>
        <w:br/>
        <w:t>Marché cible : Côte d'Ivoire et zone UEMOA</w:t>
      </w:r>
    </w:p>
    <w:p>
      <w:pPr>
        <w:jc w:val="center"/>
      </w:pPr>
      <w:r>
        <w:rPr>
          <w:color w:val="B8862E"/>
          <w:sz w:val="28"/>
        </w:rPr>
        <w:t>— • —</w:t>
      </w:r>
    </w:p>
    <w:p/>
    <w:p/>
    <w:p/>
    <w:p/>
    <w:p/>
    <w:p/>
    <w:p/>
    <w:p/>
    <w:p>
      <w:pPr>
        <w:jc w:val="center"/>
      </w:pPr>
      <w:r>
        <w:rPr>
          <w:color w:val="5A6470"/>
          <w:sz w:val="18"/>
        </w:rPr>
        <w:t>Réf : HP-BP-2026-003</w:t>
        <w:br/>
        <w:t>Avril 2026  |  Abidjan, Côte d'Ivoire</w:t>
        <w:br/>
        <w:br/>
        <w:t>Document confidentiel — Usage interne et investisseurs</w:t>
      </w:r>
    </w:p>
    <w:p>
      <w:r>
        <w:br w:type="page"/>
      </w:r>
    </w:p>
    <w:p>
      <w:pPr>
        <w:spacing w:before="360" w:after="40"/>
        <w:pBdr>
          <w:bottom w:val="single" w:sz="12" w:color="B8862E"/>
        </w:pBdr>
      </w:pPr>
      <w:r>
        <w:rPr>
          <w:rFonts w:ascii="Georgia" w:hAnsi="Georgia"/>
          <w:b/>
          <w:color w:val="0A2540"/>
          <w:sz w:val="36"/>
        </w:rPr>
        <w:t>1. PRÉSENTATION DE L'ENTREPRISE</w:t>
      </w:r>
    </w:p>
    <w:p>
      <w:pPr>
        <w:spacing w:after="120"/>
      </w:pPr>
    </w:p>
    <w:p>
      <w:pPr>
        <w:spacing w:before="280" w:after="80"/>
      </w:pPr>
      <w:r>
        <w:rPr>
          <w:rFonts w:ascii="Calibri" w:hAnsi="Calibri"/>
          <w:b/>
          <w:color w:val="0A2540"/>
          <w:sz w:val="26"/>
        </w:rPr>
        <w:t>Identité</w:t>
      </w:r>
    </w:p>
    <w:tbl>
      <w:tblPr>
        <w:tblW w:type="auto" w:w="0"/>
        <w:jc w:val="center"/>
        <w:tblLook w:firstColumn="1" w:firstRow="1" w:lastColumn="0" w:lastRow="0" w:noHBand="0" w:noVBand="1" w:val="04A0"/>
      </w:tblPr>
      <w:tblGrid>
        <w:gridCol w:w="4873"/>
        <w:gridCol w:w="4873"/>
      </w:tblGrid>
      <w:tr>
        <w:tc>
          <w:tcPr>
            <w:tcW w:type="dxa" w:w="3118"/>
            <w:shd w:val="clear" w:color="auto" w:fill="0A2540"/>
            <w:tcMar>
              <w:top w:w="120" w:type="dxa"/>
              <w:bottom w:w="120" w:type="dxa"/>
              <w:left w:w="140" w:type="dxa"/>
              <w:right w:w="140" w:type="dxa"/>
            </w:tcMar>
            <w:vAlign w:val="center"/>
          </w:tcPr>
          <w:p>
            <w:pPr>
              <w:jc w:val="left"/>
            </w:pPr>
            <w:r/>
            <w:r>
              <w:rPr>
                <w:b/>
                <w:color w:val="FFFFFF"/>
                <w:sz w:val="20"/>
              </w:rPr>
              <w:t>Élément</w:t>
            </w:r>
          </w:p>
        </w:tc>
        <w:tc>
          <w:tcPr>
            <w:tcW w:type="dxa" w:w="5953"/>
            <w:shd w:val="clear" w:color="auto" w:fill="0A2540"/>
            <w:tcMar>
              <w:top w:w="120" w:type="dxa"/>
              <w:bottom w:w="120" w:type="dxa"/>
              <w:left w:w="140" w:type="dxa"/>
              <w:right w:w="140" w:type="dxa"/>
            </w:tcMar>
            <w:vAlign w:val="center"/>
          </w:tcPr>
          <w:p>
            <w:pPr>
              <w:jc w:val="left"/>
            </w:pPr>
            <w:r/>
            <w:r>
              <w:rPr>
                <w:b/>
                <w:color w:val="FFFFFF"/>
                <w:sz w:val="20"/>
              </w:rPr>
              <w:t>Valeur</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Dénomination commerciale</w:t>
            </w:r>
          </w:p>
        </w:tc>
        <w:tc>
          <w:tcPr>
            <w:tcW w:type="dxa" w:w="5953"/>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HERALDO PRESS</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Forme juridique envisagée</w:t>
            </w:r>
          </w:p>
        </w:tc>
        <w:tc>
          <w:tcPr>
            <w:tcW w:type="dxa" w:w="5953"/>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SARL ou SAS de droit ivoirien (en cours de constitution)</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Activité</w:t>
            </w:r>
          </w:p>
        </w:tc>
        <w:tc>
          <w:tcPr>
            <w:tcW w:type="dxa" w:w="5953"/>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Édition de plateforme SaaS B2B de communication médiatique institutionnelle</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Code APE / Activité</w:t>
            </w:r>
          </w:p>
        </w:tc>
        <w:tc>
          <w:tcPr>
            <w:tcW w:type="dxa" w:w="5953"/>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Édition de logiciels applicatifs / Activités informatiques</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Siège social envisagé</w:t>
            </w:r>
          </w:p>
        </w:tc>
        <w:tc>
          <w:tcPr>
            <w:tcW w:type="dxa" w:w="5953"/>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Abidjan, Côte d'Ivoire</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Marché initial</w:t>
            </w:r>
          </w:p>
        </w:tc>
        <w:tc>
          <w:tcPr>
            <w:tcW w:type="dxa" w:w="5953"/>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Côte d'Ivoire</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Marché extension</w:t>
            </w:r>
          </w:p>
        </w:tc>
        <w:tc>
          <w:tcPr>
            <w:tcW w:type="dxa" w:w="5953"/>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Sénégal, Burkina Faso, Mali, Bénin (UEMOA)</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Date prévue de lancement commercial</w:t>
            </w:r>
          </w:p>
        </w:tc>
        <w:tc>
          <w:tcPr>
            <w:tcW w:type="dxa" w:w="5953"/>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Q3 2026</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Régulateurs concernés</w:t>
            </w:r>
          </w:p>
        </w:tc>
        <w:tc>
          <w:tcPr>
            <w:tcW w:type="dxa" w:w="5953"/>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CNPCI, HACA, BCEAO (Mobile Money), CDP (données personnelles)</w:t>
            </w:r>
          </w:p>
        </w:tc>
      </w:tr>
    </w:tbl>
    <w:p>
      <w:pPr>
        <w:spacing w:after="80"/>
      </w:pPr>
    </w:p>
    <w:p>
      <w:pPr>
        <w:spacing w:before="280" w:after="80"/>
      </w:pPr>
      <w:r>
        <w:rPr>
          <w:rFonts w:ascii="Calibri" w:hAnsi="Calibri"/>
          <w:b/>
          <w:color w:val="0A2540"/>
          <w:sz w:val="26"/>
        </w:rPr>
        <w:t>Vision</w:t>
      </w: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Devenir l'infrastructure de référence de la communication médiatique institutionnelle en Afrique de l'Ouest, en transformant des pratiques informelles et opaques en un écosystème numérique transparent, mesurable et équitable pour toutes les parties prenantes.</w:t>
            </w:r>
          </w:p>
        </w:tc>
      </w:tr>
    </w:tbl>
    <w:p>
      <w:pPr>
        <w:spacing w:after="40"/>
      </w:pPr>
    </w:p>
    <w:p>
      <w:pPr>
        <w:spacing w:before="280" w:after="80"/>
      </w:pPr>
      <w:r>
        <w:rPr>
          <w:rFonts w:ascii="Calibri" w:hAnsi="Calibri"/>
          <w:b/>
          <w:color w:val="0A2540"/>
          <w:sz w:val="26"/>
        </w:rPr>
        <w:t>Mission</w:t>
      </w:r>
    </w:p>
    <w:p>
      <w:pPr>
        <w:spacing w:after="120" w:line="300" w:lineRule="auto"/>
        <w:jc w:val="center"/>
      </w:pPr>
      <w:r>
        <w:rPr>
          <w:b w:val="0"/>
          <w:i/>
          <w:color w:val="B8862E"/>
          <w:sz w:val="24"/>
        </w:rPr>
        <w:t>« Votre message, notre mission. »</w:t>
      </w:r>
    </w:p>
    <w:p>
      <w:pPr>
        <w:spacing w:after="120" w:line="300" w:lineRule="auto"/>
        <w:jc w:val="both"/>
      </w:pPr>
      <w:r>
        <w:rPr>
          <w:b w:val="0"/>
          <w:i w:val="0"/>
          <w:sz w:val="22"/>
        </w:rPr>
        <w:t>Donner à chaque institution, élu et entreprise les moyens de diffuser leur message à grande échelle avec efficacité, traçabilité et impact mesurable, tout en offrant aux journalistes une plateforme transparente et rémunératrice pour valoriser leur travail de couverture.</w:t>
      </w:r>
    </w:p>
    <w:p>
      <w:r>
        <w:br w:type="page"/>
      </w:r>
    </w:p>
    <w:p>
      <w:pPr>
        <w:spacing w:before="360" w:after="40"/>
        <w:pBdr>
          <w:bottom w:val="single" w:sz="12" w:color="B8862E"/>
        </w:pBdr>
      </w:pPr>
      <w:r>
        <w:rPr>
          <w:rFonts w:ascii="Georgia" w:hAnsi="Georgia"/>
          <w:b/>
          <w:color w:val="0A2540"/>
          <w:sz w:val="36"/>
        </w:rPr>
        <w:t>2. ANALYSE DE MARCHÉ</w:t>
      </w:r>
    </w:p>
    <w:p>
      <w:pPr>
        <w:spacing w:after="120"/>
      </w:pPr>
    </w:p>
    <w:p>
      <w:pPr>
        <w:spacing w:before="280" w:after="80"/>
      </w:pPr>
      <w:r>
        <w:rPr>
          <w:rFonts w:ascii="Calibri" w:hAnsi="Calibri"/>
          <w:b/>
          <w:color w:val="0A2540"/>
          <w:sz w:val="26"/>
        </w:rPr>
        <w:t>2.1 Taille et structure du marché</w:t>
      </w:r>
    </w:p>
    <w:p>
      <w:pPr>
        <w:spacing w:after="120" w:line="300" w:lineRule="auto"/>
        <w:jc w:val="both"/>
      </w:pPr>
      <w:r>
        <w:rPr>
          <w:b w:val="0"/>
          <w:i w:val="0"/>
          <w:sz w:val="22"/>
        </w:rPr>
        <w:t>Le marché cible primaire est composé des institutions publiques et privées de Côte d'Ivoire ayant un besoin régulier de communication médiatique institutionnelle. À ARPU moyen et avec un taux de pénétration cible de 10% à 18 mois, le marché annuel récurrent adressable se chiffre à 221 millions de FCFA, sans compter les revenus à l'acte (salles, FCM, services).</w:t>
      </w:r>
    </w:p>
    <w:p>
      <w:pPr>
        <w:spacing w:before="280" w:after="80"/>
      </w:pPr>
      <w:r>
        <w:rPr>
          <w:rFonts w:ascii="Calibri" w:hAnsi="Calibri"/>
          <w:b/>
          <w:color w:val="0A2540"/>
          <w:sz w:val="26"/>
        </w:rPr>
        <w:t>2.2 Marché Côte d'Ivoire — détail</w:t>
      </w:r>
    </w:p>
    <w:tbl>
      <w:tblPr>
        <w:tblW w:type="auto" w:w="0"/>
        <w:jc w:val="center"/>
        <w:tblLook w:firstColumn="1" w:firstRow="1" w:lastColumn="0" w:lastRow="0" w:noHBand="0" w:noVBand="1" w:val="04A0"/>
      </w:tblPr>
      <w:tblGrid>
        <w:gridCol w:w="2436"/>
        <w:gridCol w:w="2436"/>
        <w:gridCol w:w="2436"/>
        <w:gridCol w:w="2436"/>
      </w:tblGrid>
      <w:tr>
        <w:tc>
          <w:tcPr>
            <w:tcW w:type="dxa" w:w="2835"/>
            <w:shd w:val="clear" w:color="auto" w:fill="0A2540"/>
            <w:tcMar>
              <w:top w:w="120" w:type="dxa"/>
              <w:bottom w:w="120" w:type="dxa"/>
              <w:left w:w="140" w:type="dxa"/>
              <w:right w:w="140" w:type="dxa"/>
            </w:tcMar>
            <w:vAlign w:val="center"/>
          </w:tcPr>
          <w:p>
            <w:pPr>
              <w:jc w:val="left"/>
            </w:pPr>
            <w:r/>
            <w:r>
              <w:rPr>
                <w:b/>
                <w:color w:val="FFFFFF"/>
                <w:sz w:val="20"/>
              </w:rPr>
              <w:t>Segment</w:t>
            </w:r>
          </w:p>
        </w:tc>
        <w:tc>
          <w:tcPr>
            <w:tcW w:type="dxa" w:w="1417"/>
            <w:shd w:val="clear" w:color="auto" w:fill="0A2540"/>
            <w:tcMar>
              <w:top w:w="120" w:type="dxa"/>
              <w:bottom w:w="120" w:type="dxa"/>
              <w:left w:w="140" w:type="dxa"/>
              <w:right w:w="140" w:type="dxa"/>
            </w:tcMar>
            <w:vAlign w:val="center"/>
          </w:tcPr>
          <w:p>
            <w:pPr>
              <w:jc w:val="left"/>
            </w:pPr>
            <w:r/>
            <w:r>
              <w:rPr>
                <w:b/>
                <w:color w:val="FFFFFF"/>
                <w:sz w:val="20"/>
              </w:rPr>
              <w:t>Volume</w:t>
            </w:r>
          </w:p>
        </w:tc>
        <w:tc>
          <w:tcPr>
            <w:tcW w:type="dxa" w:w="1984"/>
            <w:shd w:val="clear" w:color="auto" w:fill="0A2540"/>
            <w:tcMar>
              <w:top w:w="120" w:type="dxa"/>
              <w:bottom w:w="120" w:type="dxa"/>
              <w:left w:w="140" w:type="dxa"/>
              <w:right w:w="140" w:type="dxa"/>
            </w:tcMar>
            <w:vAlign w:val="center"/>
          </w:tcPr>
          <w:p>
            <w:pPr>
              <w:jc w:val="left"/>
            </w:pPr>
            <w:r/>
            <w:r>
              <w:rPr>
                <w:b/>
                <w:color w:val="FFFFFF"/>
                <w:sz w:val="20"/>
              </w:rPr>
              <w:t>ARPU</w:t>
            </w:r>
          </w:p>
        </w:tc>
        <w:tc>
          <w:tcPr>
            <w:tcW w:type="dxa" w:w="2835"/>
            <w:shd w:val="clear" w:color="auto" w:fill="0A2540"/>
            <w:tcMar>
              <w:top w:w="120" w:type="dxa"/>
              <w:bottom w:w="120" w:type="dxa"/>
              <w:left w:w="140" w:type="dxa"/>
              <w:right w:w="140" w:type="dxa"/>
            </w:tcMar>
            <w:vAlign w:val="center"/>
          </w:tcPr>
          <w:p>
            <w:pPr>
              <w:jc w:val="left"/>
            </w:pPr>
            <w:r/>
            <w:r>
              <w:rPr>
                <w:b/>
                <w:color w:val="FFFFFF"/>
                <w:sz w:val="20"/>
              </w:rPr>
              <w:t>ARR potentiel</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Communes (mairies)</w:t>
            </w:r>
          </w:p>
        </w:tc>
        <w:tc>
          <w:tcPr>
            <w:tcW w:type="dxa" w:w="141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201</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480 000 FCFA</w:t>
            </w:r>
          </w:p>
        </w:tc>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96,5 M FCFA</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Députés / Conseillers</w:t>
            </w:r>
          </w:p>
        </w:tc>
        <w:tc>
          <w:tcPr>
            <w:tcW w:type="dxa" w:w="141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255</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240 000 FCFA</w:t>
            </w:r>
          </w:p>
        </w:tc>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61,2 M FCFA</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Conseils régionaux</w:t>
            </w:r>
          </w:p>
        </w:tc>
        <w:tc>
          <w:tcPr>
            <w:tcW w:type="dxa" w:w="141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31</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900 000 FCFA</w:t>
            </w:r>
          </w:p>
        </w:tc>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27,9 M FCFA</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Ministères / Directions</w:t>
            </w:r>
          </w:p>
        </w:tc>
        <w:tc>
          <w:tcPr>
            <w:tcW w:type="dxa" w:w="141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40+</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900 000 FCFA</w:t>
            </w:r>
          </w:p>
        </w:tc>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36,0 M FCFA</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Agences RP</w:t>
            </w:r>
          </w:p>
        </w:tc>
        <w:tc>
          <w:tcPr>
            <w:tcW w:type="dxa" w:w="141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720 000 FCFA</w:t>
            </w:r>
          </w:p>
        </w:tc>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36,0 M FCFA</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TOTAL ADRESSABLE CI</w:t>
            </w:r>
          </w:p>
        </w:tc>
        <w:tc>
          <w:tcPr>
            <w:tcW w:type="dxa" w:w="141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577+</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221,0 M FCFA</w:t>
            </w:r>
          </w:p>
        </w:tc>
      </w:tr>
    </w:tbl>
    <w:p>
      <w:pPr>
        <w:spacing w:after="80"/>
      </w:pPr>
    </w:p>
    <w:p>
      <w:pPr>
        <w:spacing w:before="280" w:after="80"/>
      </w:pPr>
      <w:r>
        <w:rPr>
          <w:rFonts w:ascii="Calibri" w:hAnsi="Calibri"/>
          <w:b/>
          <w:color w:val="0A2540"/>
          <w:sz w:val="26"/>
        </w:rPr>
        <w:t>2.3 Extension UEMOA — séquentielle</w:t>
      </w:r>
    </w:p>
    <w:tbl>
      <w:tblPr>
        <w:tblW w:type="auto" w:w="0"/>
        <w:jc w:val="center"/>
        <w:tblLook w:firstColumn="1" w:firstRow="1" w:lastColumn="0" w:lastRow="0" w:noHBand="0" w:noVBand="1" w:val="04A0"/>
      </w:tblPr>
      <w:tblGrid>
        <w:gridCol w:w="1949"/>
        <w:gridCol w:w="1949"/>
        <w:gridCol w:w="1949"/>
        <w:gridCol w:w="1949"/>
        <w:gridCol w:w="1949"/>
      </w:tblGrid>
      <w:tr>
        <w:tc>
          <w:tcPr>
            <w:tcW w:type="dxa" w:w="1701"/>
            <w:shd w:val="clear" w:color="auto" w:fill="0A2540"/>
            <w:tcMar>
              <w:top w:w="120" w:type="dxa"/>
              <w:bottom w:w="120" w:type="dxa"/>
              <w:left w:w="140" w:type="dxa"/>
              <w:right w:w="140" w:type="dxa"/>
            </w:tcMar>
            <w:vAlign w:val="center"/>
          </w:tcPr>
          <w:p>
            <w:pPr>
              <w:jc w:val="left"/>
            </w:pPr>
            <w:r/>
            <w:r>
              <w:rPr>
                <w:b/>
                <w:color w:val="FFFFFF"/>
                <w:sz w:val="20"/>
              </w:rPr>
              <w:t>Pays</w:t>
            </w:r>
          </w:p>
        </w:tc>
        <w:tc>
          <w:tcPr>
            <w:tcW w:type="dxa" w:w="1134"/>
            <w:shd w:val="clear" w:color="auto" w:fill="0A2540"/>
            <w:tcMar>
              <w:top w:w="120" w:type="dxa"/>
              <w:bottom w:w="120" w:type="dxa"/>
              <w:left w:w="140" w:type="dxa"/>
              <w:right w:w="140" w:type="dxa"/>
            </w:tcMar>
            <w:vAlign w:val="center"/>
          </w:tcPr>
          <w:p>
            <w:pPr>
              <w:jc w:val="left"/>
            </w:pPr>
            <w:r/>
            <w:r>
              <w:rPr>
                <w:b/>
                <w:color w:val="FFFFFF"/>
                <w:sz w:val="20"/>
              </w:rPr>
              <w:t>Communes</w:t>
            </w:r>
          </w:p>
        </w:tc>
        <w:tc>
          <w:tcPr>
            <w:tcW w:type="dxa" w:w="1984"/>
            <w:shd w:val="clear" w:color="auto" w:fill="0A2540"/>
            <w:tcMar>
              <w:top w:w="120" w:type="dxa"/>
              <w:bottom w:w="120" w:type="dxa"/>
              <w:left w:w="140" w:type="dxa"/>
              <w:right w:w="140" w:type="dxa"/>
            </w:tcMar>
            <w:vAlign w:val="center"/>
          </w:tcPr>
          <w:p>
            <w:pPr>
              <w:jc w:val="left"/>
            </w:pPr>
            <w:r/>
            <w:r>
              <w:rPr>
                <w:b/>
                <w:color w:val="FFFFFF"/>
                <w:sz w:val="20"/>
              </w:rPr>
              <w:t>Pénétration cible 5%</w:t>
            </w:r>
          </w:p>
        </w:tc>
        <w:tc>
          <w:tcPr>
            <w:tcW w:type="dxa" w:w="1701"/>
            <w:shd w:val="clear" w:color="auto" w:fill="0A2540"/>
            <w:tcMar>
              <w:top w:w="120" w:type="dxa"/>
              <w:bottom w:w="120" w:type="dxa"/>
              <w:left w:w="140" w:type="dxa"/>
              <w:right w:w="140" w:type="dxa"/>
            </w:tcMar>
            <w:vAlign w:val="center"/>
          </w:tcPr>
          <w:p>
            <w:pPr>
              <w:jc w:val="left"/>
            </w:pPr>
            <w:r/>
            <w:r>
              <w:rPr>
                <w:b/>
                <w:color w:val="FFFFFF"/>
                <w:sz w:val="20"/>
              </w:rPr>
              <w:t>ARR estimé</w:t>
            </w:r>
          </w:p>
        </w:tc>
        <w:tc>
          <w:tcPr>
            <w:tcW w:type="dxa" w:w="2551"/>
            <w:shd w:val="clear" w:color="auto" w:fill="0A2540"/>
            <w:tcMar>
              <w:top w:w="120" w:type="dxa"/>
              <w:bottom w:w="120" w:type="dxa"/>
              <w:left w:w="140" w:type="dxa"/>
              <w:right w:w="140" w:type="dxa"/>
            </w:tcMar>
            <w:vAlign w:val="center"/>
          </w:tcPr>
          <w:p>
            <w:pPr>
              <w:jc w:val="left"/>
            </w:pPr>
            <w:r/>
            <w:r>
              <w:rPr>
                <w:b/>
                <w:color w:val="FFFFFF"/>
                <w:sz w:val="20"/>
              </w:rPr>
              <w:t>Calendrier</w:t>
            </w:r>
          </w:p>
        </w:tc>
      </w:tr>
      <w:tr>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Côte d'Ivoire</w:t>
            </w:r>
          </w:p>
        </w:tc>
        <w:tc>
          <w:tcPr>
            <w:tcW w:type="dxa" w:w="113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201</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20 mairies</w:t>
            </w:r>
          </w:p>
        </w:tc>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9,6 M FCFA</w:t>
            </w:r>
          </w:p>
        </w:tc>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P0 — Lancement Q3 2026</w:t>
            </w:r>
          </w:p>
        </w:tc>
      </w:tr>
      <w:tr>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Sénégal</w:t>
            </w:r>
          </w:p>
        </w:tc>
        <w:tc>
          <w:tcPr>
            <w:tcW w:type="dxa" w:w="113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552</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28 mairies</w:t>
            </w:r>
          </w:p>
        </w:tc>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13,4 M FCFA</w:t>
            </w:r>
          </w:p>
        </w:tc>
        <w:tc>
          <w:tcPr>
            <w:tcW w:type="dxa" w:w="255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P1 — M18</w:t>
            </w:r>
          </w:p>
        </w:tc>
      </w:tr>
      <w:tr>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Burkina Faso</w:t>
            </w:r>
          </w:p>
        </w:tc>
        <w:tc>
          <w:tcPr>
            <w:tcW w:type="dxa" w:w="113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351</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18 mairies</w:t>
            </w:r>
          </w:p>
        </w:tc>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8,6 M FCFA</w:t>
            </w:r>
          </w:p>
        </w:tc>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P2 — M24</w:t>
            </w:r>
          </w:p>
        </w:tc>
      </w:tr>
      <w:tr>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Mali</w:t>
            </w:r>
          </w:p>
        </w:tc>
        <w:tc>
          <w:tcPr>
            <w:tcW w:type="dxa" w:w="113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703</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35 mairies</w:t>
            </w:r>
          </w:p>
        </w:tc>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16,8 M FCFA</w:t>
            </w:r>
          </w:p>
        </w:tc>
        <w:tc>
          <w:tcPr>
            <w:tcW w:type="dxa" w:w="255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P2 — M24</w:t>
            </w:r>
          </w:p>
        </w:tc>
      </w:tr>
      <w:tr>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Bénin</w:t>
            </w:r>
          </w:p>
        </w:tc>
        <w:tc>
          <w:tcPr>
            <w:tcW w:type="dxa" w:w="113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77</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 mairies</w:t>
            </w:r>
          </w:p>
        </w:tc>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3,8 M FCFA</w:t>
            </w:r>
          </w:p>
        </w:tc>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P3 — M30</w:t>
            </w:r>
          </w:p>
        </w:tc>
      </w:tr>
    </w:tbl>
    <w:p>
      <w:pPr>
        <w:spacing w:after="80"/>
      </w:pPr>
    </w:p>
    <w:p>
      <w:pPr>
        <w:spacing w:before="280" w:after="80"/>
      </w:pPr>
      <w:r>
        <w:rPr>
          <w:rFonts w:ascii="Calibri" w:hAnsi="Calibri"/>
          <w:b/>
          <w:color w:val="0A2540"/>
          <w:sz w:val="26"/>
        </w:rPr>
        <w:t>2.4 Analyse concurrentielle</w:t>
      </w:r>
    </w:p>
    <w:p>
      <w:pPr>
        <w:spacing w:after="120" w:line="300" w:lineRule="auto"/>
        <w:jc w:val="both"/>
      </w:pPr>
      <w:r>
        <w:rPr>
          <w:b w:val="0"/>
          <w:i w:val="0"/>
          <w:sz w:val="22"/>
        </w:rPr>
        <w:t>Le marché ivoirien de la communication institutionnelle ne compte aujourd'hui aucune plateforme numérique structurée dédiée à la relation presse. Les substituts utilisés sont tous inadaptés ou partiels :</w:t>
      </w:r>
    </w:p>
    <w:tbl>
      <w:tblPr>
        <w:tblW w:type="auto" w:w="0"/>
        <w:jc w:val="center"/>
        <w:tblLook w:firstColumn="1" w:firstRow="1" w:lastColumn="0" w:lastRow="0" w:noHBand="0" w:noVBand="1" w:val="04A0"/>
      </w:tblPr>
      <w:tblGrid>
        <w:gridCol w:w="3249"/>
        <w:gridCol w:w="3249"/>
        <w:gridCol w:w="3249"/>
      </w:tblGrid>
      <w:tr>
        <w:tc>
          <w:tcPr>
            <w:tcW w:type="dxa" w:w="2551"/>
            <w:shd w:val="clear" w:color="auto" w:fill="0A2540"/>
            <w:tcMar>
              <w:top w:w="120" w:type="dxa"/>
              <w:bottom w:w="120" w:type="dxa"/>
              <w:left w:w="140" w:type="dxa"/>
              <w:right w:w="140" w:type="dxa"/>
            </w:tcMar>
            <w:vAlign w:val="center"/>
          </w:tcPr>
          <w:p>
            <w:pPr>
              <w:jc w:val="left"/>
            </w:pPr>
            <w:r/>
            <w:r>
              <w:rPr>
                <w:b/>
                <w:color w:val="FFFFFF"/>
                <w:sz w:val="20"/>
              </w:rPr>
              <w:t>Acteur</w:t>
            </w:r>
          </w:p>
        </w:tc>
        <w:tc>
          <w:tcPr>
            <w:tcW w:type="dxa" w:w="3118"/>
            <w:shd w:val="clear" w:color="auto" w:fill="0A2540"/>
            <w:tcMar>
              <w:top w:w="120" w:type="dxa"/>
              <w:bottom w:w="120" w:type="dxa"/>
              <w:left w:w="140" w:type="dxa"/>
              <w:right w:w="140" w:type="dxa"/>
            </w:tcMar>
            <w:vAlign w:val="center"/>
          </w:tcPr>
          <w:p>
            <w:pPr>
              <w:jc w:val="left"/>
            </w:pPr>
            <w:r/>
            <w:r>
              <w:rPr>
                <w:b/>
                <w:color w:val="FFFFFF"/>
                <w:sz w:val="20"/>
              </w:rPr>
              <w:t>Faiblesse</w:t>
            </w:r>
          </w:p>
        </w:tc>
        <w:tc>
          <w:tcPr>
            <w:tcW w:type="dxa" w:w="3402"/>
            <w:shd w:val="clear" w:color="auto" w:fill="0A2540"/>
            <w:tcMar>
              <w:top w:w="120" w:type="dxa"/>
              <w:bottom w:w="120" w:type="dxa"/>
              <w:left w:w="140" w:type="dxa"/>
              <w:right w:w="140" w:type="dxa"/>
            </w:tcMar>
            <w:vAlign w:val="center"/>
          </w:tcPr>
          <w:p>
            <w:pPr>
              <w:jc w:val="left"/>
            </w:pPr>
            <w:r/>
            <w:r>
              <w:rPr>
                <w:b/>
                <w:color w:val="FFFFFF"/>
                <w:sz w:val="20"/>
              </w:rPr>
              <w:t>Avantage HERALDO PRESS</w:t>
            </w:r>
          </w:p>
        </w:tc>
      </w:tr>
      <w:tr>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Agences RP traditionnelles CI</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Carnet d'adresses, pas d'outil, pas de mesure</w:t>
            </w:r>
          </w:p>
        </w:tc>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Plateforme + FCM + IMPACT + app journaliste</w:t>
            </w:r>
          </w:p>
        </w:tc>
      </w:tr>
      <w:tr>
        <w:tc>
          <w:tcPr>
            <w:tcW w:type="dxa" w:w="255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WhatsApp groupes journalistes</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Aucune structure, paiement, certification</w:t>
            </w:r>
          </w:p>
        </w:tc>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AGORA + FCM + accréditation</w:t>
            </w:r>
          </w:p>
        </w:tc>
      </w:tr>
      <w:tr>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Cision / Meltwater</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Inadaptés Afrique, coûts prohibitifs</w:t>
            </w:r>
          </w:p>
        </w:tc>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Tarifs locaux + base CI + Mobile Money</w:t>
            </w:r>
          </w:p>
        </w:tc>
      </w:tr>
      <w:tr>
        <w:tc>
          <w:tcPr>
            <w:tcW w:type="dxa" w:w="255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Zoom / Teams</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Pas de branding, pas de FCM, pas d'accréditation</w:t>
            </w:r>
          </w:p>
        </w:tc>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AGORA brandée + accréditation + kit média</w:t>
            </w:r>
          </w:p>
        </w:tc>
      </w:tr>
    </w:tbl>
    <w:p>
      <w:pPr>
        <w:spacing w:after="80"/>
      </w:pPr>
    </w:p>
    <w:p>
      <w:r>
        <w:br w:type="page"/>
      </w:r>
    </w:p>
    <w:p>
      <w:pPr>
        <w:spacing w:before="360" w:after="40"/>
        <w:pBdr>
          <w:bottom w:val="single" w:sz="12" w:color="B8862E"/>
        </w:pBdr>
      </w:pPr>
      <w:r>
        <w:rPr>
          <w:rFonts w:ascii="Georgia" w:hAnsi="Georgia"/>
          <w:b/>
          <w:color w:val="0A2540"/>
          <w:sz w:val="36"/>
        </w:rPr>
        <w:t>3. OFFRE PRODUIT</w:t>
      </w:r>
    </w:p>
    <w:p>
      <w:pPr>
        <w:spacing w:after="120"/>
      </w:pPr>
    </w:p>
    <w:p>
      <w:pPr>
        <w:spacing w:after="120" w:line="300" w:lineRule="auto"/>
        <w:jc w:val="left"/>
      </w:pPr>
      <w:r>
        <w:rPr>
          <w:b w:val="0"/>
          <w:i w:val="0"/>
          <w:sz w:val="22"/>
        </w:rPr>
        <w:t>L'offre se structure autour d'une plateforme SaaS unique articulée en 6 modules complémentaires :</w:t>
      </w:r>
    </w:p>
    <w:tbl>
      <w:tblPr>
        <w:tblW w:type="auto" w:w="0"/>
        <w:jc w:val="center"/>
        <w:tblLook w:firstColumn="1" w:firstRow="1" w:lastColumn="0" w:lastRow="0" w:noHBand="0" w:noVBand="1" w:val="04A0"/>
      </w:tblPr>
      <w:tblGrid>
        <w:gridCol w:w="3249"/>
        <w:gridCol w:w="3249"/>
        <w:gridCol w:w="3249"/>
      </w:tblGrid>
      <w:tr>
        <w:tc>
          <w:tcPr>
            <w:tcW w:type="dxa" w:w="1701"/>
            <w:shd w:val="clear" w:color="auto" w:fill="0A2540"/>
            <w:tcMar>
              <w:top w:w="120" w:type="dxa"/>
              <w:bottom w:w="120" w:type="dxa"/>
              <w:left w:w="140" w:type="dxa"/>
              <w:right w:w="140" w:type="dxa"/>
            </w:tcMar>
            <w:vAlign w:val="center"/>
          </w:tcPr>
          <w:p>
            <w:pPr>
              <w:jc w:val="left"/>
            </w:pPr>
            <w:r/>
            <w:r>
              <w:rPr>
                <w:b/>
                <w:color w:val="FFFFFF"/>
                <w:sz w:val="20"/>
              </w:rPr>
              <w:t>Module</w:t>
            </w:r>
          </w:p>
        </w:tc>
        <w:tc>
          <w:tcPr>
            <w:tcW w:type="dxa" w:w="3118"/>
            <w:shd w:val="clear" w:color="auto" w:fill="0A2540"/>
            <w:tcMar>
              <w:top w:w="120" w:type="dxa"/>
              <w:bottom w:w="120" w:type="dxa"/>
              <w:left w:w="140" w:type="dxa"/>
              <w:right w:w="140" w:type="dxa"/>
            </w:tcMar>
            <w:vAlign w:val="center"/>
          </w:tcPr>
          <w:p>
            <w:pPr>
              <w:jc w:val="left"/>
            </w:pPr>
            <w:r/>
            <w:r>
              <w:rPr>
                <w:b/>
                <w:color w:val="FFFFFF"/>
                <w:sz w:val="20"/>
              </w:rPr>
              <w:t>Objet</w:t>
            </w:r>
          </w:p>
        </w:tc>
        <w:tc>
          <w:tcPr>
            <w:tcW w:type="dxa" w:w="4252"/>
            <w:shd w:val="clear" w:color="auto" w:fill="0A2540"/>
            <w:tcMar>
              <w:top w:w="120" w:type="dxa"/>
              <w:bottom w:w="120" w:type="dxa"/>
              <w:left w:w="140" w:type="dxa"/>
              <w:right w:w="140" w:type="dxa"/>
            </w:tcMar>
            <w:vAlign w:val="center"/>
          </w:tcPr>
          <w:p>
            <w:pPr>
              <w:jc w:val="left"/>
            </w:pPr>
            <w:r/>
            <w:r>
              <w:rPr>
                <w:b/>
                <w:color w:val="FFFFFF"/>
                <w:sz w:val="20"/>
              </w:rPr>
              <w:t>Innovation</w:t>
            </w:r>
          </w:p>
        </w:tc>
      </w:tr>
      <w:tr>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ÉMISSION</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Diffusion communiqués multi-format</w:t>
            </w:r>
          </w:p>
        </w:tc>
        <w:tc>
          <w:tcPr>
            <w:tcW w:type="dxa" w:w="425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saisie → 3 formats (presse, web, social)</w:t>
            </w:r>
          </w:p>
        </w:tc>
      </w:tr>
      <w:tr>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AGORA</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Salle de presse virtuelle brandée</w:t>
            </w:r>
          </w:p>
        </w:tc>
        <w:tc>
          <w:tcPr>
            <w:tcW w:type="dxa" w:w="425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75 k FCFA contre 500 k – 2 M en physique</w:t>
            </w:r>
          </w:p>
        </w:tc>
      </w:tr>
      <w:tr>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RÉSEAU</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Base de données journalistes accrédités</w:t>
            </w:r>
          </w:p>
        </w:tc>
        <w:tc>
          <w:tcPr>
            <w:tcW w:type="dxa" w:w="425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Accréditation HERALDO + score fiabilité FCM</w:t>
            </w:r>
          </w:p>
        </w:tc>
      </w:tr>
      <w:tr>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FCM</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Fonds de Couverture Média digital</w:t>
            </w:r>
          </w:p>
        </w:tc>
        <w:tc>
          <w:tcPr>
            <w:tcW w:type="dxa" w:w="425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Per diem cash → paiement à la preuve</w:t>
            </w:r>
          </w:p>
        </w:tc>
      </w:tr>
      <w:tr>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AMPLIFICATION</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Diffusion 360° multicanal</w:t>
            </w:r>
          </w:p>
        </w:tc>
        <w:tc>
          <w:tcPr>
            <w:tcW w:type="dxa" w:w="425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Presse + social + WhatsApp + influenceurs</w:t>
            </w:r>
          </w:p>
        </w:tc>
      </w:tr>
      <w:tr>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IMPACT</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Mesure et reporting temps réel</w:t>
            </w:r>
          </w:p>
        </w:tc>
        <w:tc>
          <w:tcPr>
            <w:tcW w:type="dxa" w:w="425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KPI portée + ROI communication</w:t>
            </w:r>
          </w:p>
        </w:tc>
      </w:tr>
    </w:tbl>
    <w:p>
      <w:pPr>
        <w:spacing w:after="80"/>
      </w:pPr>
    </w:p>
    <w:p>
      <w:pPr>
        <w:spacing w:before="280" w:after="80"/>
      </w:pPr>
      <w:r>
        <w:rPr>
          <w:rFonts w:ascii="Calibri" w:hAnsi="Calibri"/>
          <w:b/>
          <w:color w:val="0A2540"/>
          <w:sz w:val="26"/>
        </w:rPr>
        <w:t>Application téléchargeable HÉRALDO Journaliste</w:t>
      </w:r>
    </w:p>
    <w:p>
      <w:pPr>
        <w:spacing w:after="120" w:line="300" w:lineRule="auto"/>
        <w:jc w:val="both"/>
      </w:pPr>
      <w:r>
        <w:rPr>
          <w:b w:val="0"/>
          <w:i w:val="0"/>
          <w:sz w:val="22"/>
        </w:rPr>
        <w:t>Composant obligatoire de l'expérience AGORA, distribuée sur 4 canaux : App Store iOS, Google Play Android, installateur Windows .exe, installateur Mac .dmg. Garantit la qualité audio/vidéo en conditions réseau CI/UEMOA, gère les preuves FCM, le portefeuille Mobile Money et les notifications push.</w:t>
      </w:r>
    </w:p>
    <w:p>
      <w:pPr>
        <w:spacing w:before="360" w:after="40"/>
        <w:pBdr>
          <w:bottom w:val="single" w:sz="12" w:color="B8862E"/>
        </w:pBdr>
      </w:pPr>
      <w:r>
        <w:rPr>
          <w:rFonts w:ascii="Georgia" w:hAnsi="Georgia"/>
          <w:b/>
          <w:color w:val="0A2540"/>
          <w:sz w:val="36"/>
        </w:rPr>
        <w:t>4. MODÈLE ÉCONOMIQUE</w:t>
      </w:r>
    </w:p>
    <w:p>
      <w:pPr>
        <w:spacing w:after="120"/>
      </w:pPr>
    </w:p>
    <w:p>
      <w:pPr>
        <w:spacing w:before="280" w:after="80"/>
      </w:pPr>
      <w:r>
        <w:rPr>
          <w:rFonts w:ascii="Calibri" w:hAnsi="Calibri"/>
          <w:b/>
          <w:color w:val="0A2540"/>
          <w:sz w:val="26"/>
        </w:rPr>
        <w:t>Trois axes de revenus</w:t>
      </w:r>
    </w:p>
    <w:p>
      <w:pPr>
        <w:spacing w:before="160" w:after="40"/>
      </w:pPr>
      <w:r>
        <w:rPr>
          <w:b/>
          <w:color w:val="B8862E"/>
          <w:sz w:val="22"/>
        </w:rPr>
        <w:t>Axe 1 — Récurrents (abonnements annuels)</w:t>
      </w:r>
    </w:p>
    <w:tbl>
      <w:tblPr>
        <w:tblW w:type="auto" w:w="0"/>
        <w:jc w:val="center"/>
        <w:tblLook w:firstColumn="1" w:firstRow="1" w:lastColumn="0" w:lastRow="0" w:noHBand="0" w:noVBand="1" w:val="04A0"/>
      </w:tblPr>
      <w:tblGrid>
        <w:gridCol w:w="2436"/>
        <w:gridCol w:w="2436"/>
        <w:gridCol w:w="2436"/>
        <w:gridCol w:w="2436"/>
      </w:tblGrid>
      <w:tr>
        <w:tc>
          <w:tcPr>
            <w:tcW w:type="dxa" w:w="1984"/>
            <w:shd w:val="clear" w:color="auto" w:fill="0A2540"/>
            <w:tcMar>
              <w:top w:w="120" w:type="dxa"/>
              <w:bottom w:w="120" w:type="dxa"/>
              <w:left w:w="140" w:type="dxa"/>
              <w:right w:w="140" w:type="dxa"/>
            </w:tcMar>
            <w:vAlign w:val="center"/>
          </w:tcPr>
          <w:p>
            <w:pPr>
              <w:jc w:val="left"/>
            </w:pPr>
            <w:r/>
            <w:r>
              <w:rPr>
                <w:b/>
                <w:color w:val="FFFFFF"/>
                <w:sz w:val="20"/>
              </w:rPr>
              <w:t>Formule</w:t>
            </w:r>
          </w:p>
        </w:tc>
        <w:tc>
          <w:tcPr>
            <w:tcW w:type="dxa" w:w="1701"/>
            <w:shd w:val="clear" w:color="auto" w:fill="0A2540"/>
            <w:tcMar>
              <w:top w:w="120" w:type="dxa"/>
              <w:bottom w:w="120" w:type="dxa"/>
              <w:left w:w="140" w:type="dxa"/>
              <w:right w:w="140" w:type="dxa"/>
            </w:tcMar>
            <w:vAlign w:val="center"/>
          </w:tcPr>
          <w:p>
            <w:pPr>
              <w:jc w:val="left"/>
            </w:pPr>
            <w:r/>
            <w:r>
              <w:rPr>
                <w:b/>
                <w:color w:val="FFFFFF"/>
                <w:sz w:val="20"/>
              </w:rPr>
              <w:t>Cible</w:t>
            </w:r>
          </w:p>
        </w:tc>
        <w:tc>
          <w:tcPr>
            <w:tcW w:type="dxa" w:w="1417"/>
            <w:shd w:val="clear" w:color="auto" w:fill="0A2540"/>
            <w:tcMar>
              <w:top w:w="120" w:type="dxa"/>
              <w:bottom w:w="120" w:type="dxa"/>
              <w:left w:w="140" w:type="dxa"/>
              <w:right w:w="140" w:type="dxa"/>
            </w:tcMar>
            <w:vAlign w:val="center"/>
          </w:tcPr>
          <w:p>
            <w:pPr>
              <w:jc w:val="left"/>
            </w:pPr>
            <w:r/>
            <w:r>
              <w:rPr>
                <w:b/>
                <w:color w:val="FFFFFF"/>
                <w:sz w:val="20"/>
              </w:rPr>
              <w:t>Prix annuel</w:t>
            </w:r>
          </w:p>
        </w:tc>
        <w:tc>
          <w:tcPr>
            <w:tcW w:type="dxa" w:w="3969"/>
            <w:shd w:val="clear" w:color="auto" w:fill="0A2540"/>
            <w:tcMar>
              <w:top w:w="120" w:type="dxa"/>
              <w:bottom w:w="120" w:type="dxa"/>
              <w:left w:w="140" w:type="dxa"/>
              <w:right w:w="140" w:type="dxa"/>
            </w:tcMar>
            <w:vAlign w:val="center"/>
          </w:tcPr>
          <w:p>
            <w:pPr>
              <w:jc w:val="left"/>
            </w:pPr>
            <w:r/>
            <w:r>
              <w:rPr>
                <w:b/>
                <w:color w:val="FFFFFF"/>
                <w:sz w:val="20"/>
              </w:rPr>
              <w:t>Inclus</w:t>
            </w:r>
          </w:p>
        </w:tc>
      </w:tr>
      <w:tr>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HERALDO ÉLU</w:t>
            </w:r>
          </w:p>
        </w:tc>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Députés, conseillers</w:t>
            </w:r>
          </w:p>
        </w:tc>
        <w:tc>
          <w:tcPr>
            <w:tcW w:type="dxa" w:w="141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240 000 FCFA</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com./mois · 1 salle/trim · reporting</w:t>
            </w:r>
          </w:p>
        </w:tc>
      </w:tr>
      <w:tr>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HERALDO MAIRIE</w:t>
            </w:r>
          </w:p>
        </w:tc>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Communes</w:t>
            </w:r>
          </w:p>
        </w:tc>
        <w:tc>
          <w:tcPr>
            <w:tcW w:type="dxa" w:w="141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480 000 FCFA</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 com./mois · 1 salle/mois · studio · reporting</w:t>
            </w:r>
          </w:p>
        </w:tc>
      </w:tr>
      <w:tr>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HERALDO INSTITUTION</w:t>
            </w:r>
          </w:p>
        </w:tc>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Ministères, directions</w:t>
            </w:r>
          </w:p>
        </w:tc>
        <w:tc>
          <w:tcPr>
            <w:tcW w:type="dxa" w:w="141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900 000 FCFA</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Illimité · 2 salles/mois · API · reporting +</w:t>
            </w:r>
          </w:p>
        </w:tc>
      </w:tr>
      <w:tr>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HERALDO AGENCE</w:t>
            </w:r>
          </w:p>
        </w:tc>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Agences RP</w:t>
            </w:r>
          </w:p>
        </w:tc>
        <w:tc>
          <w:tcPr>
            <w:tcW w:type="dxa" w:w="141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720 000 FCFA</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 comptes clients · salles · marque blanche</w:t>
            </w:r>
          </w:p>
        </w:tc>
      </w:tr>
    </w:tbl>
    <w:p>
      <w:pPr>
        <w:spacing w:after="80"/>
      </w:pPr>
    </w:p>
    <w:p>
      <w:pPr>
        <w:spacing w:before="160" w:after="40"/>
      </w:pPr>
      <w:r>
        <w:rPr>
          <w:b/>
          <w:color w:val="B8862E"/>
          <w:sz w:val="22"/>
        </w:rPr>
        <w:t>Axe 2 — À l'acte</w:t>
      </w:r>
    </w:p>
    <w:tbl>
      <w:tblPr>
        <w:tblW w:type="auto" w:w="0"/>
        <w:jc w:val="center"/>
        <w:tblLook w:firstColumn="1" w:firstRow="1" w:lastColumn="0" w:lastRow="0" w:noHBand="0" w:noVBand="1" w:val="04A0"/>
      </w:tblPr>
      <w:tblGrid>
        <w:gridCol w:w="4873"/>
        <w:gridCol w:w="4873"/>
      </w:tblGrid>
      <w:tr>
        <w:tc>
          <w:tcPr>
            <w:tcW w:type="dxa" w:w="4535"/>
            <w:shd w:val="clear" w:color="auto" w:fill="0A2540"/>
            <w:tcMar>
              <w:top w:w="120" w:type="dxa"/>
              <w:bottom w:w="120" w:type="dxa"/>
              <w:left w:w="140" w:type="dxa"/>
              <w:right w:w="140" w:type="dxa"/>
            </w:tcMar>
            <w:vAlign w:val="center"/>
          </w:tcPr>
          <w:p>
            <w:pPr>
              <w:jc w:val="left"/>
            </w:pPr>
            <w:r/>
            <w:r>
              <w:rPr>
                <w:b/>
                <w:color w:val="FFFFFF"/>
                <w:sz w:val="20"/>
              </w:rPr>
              <w:t>Service</w:t>
            </w:r>
          </w:p>
        </w:tc>
        <w:tc>
          <w:tcPr>
            <w:tcW w:type="dxa" w:w="4535"/>
            <w:shd w:val="clear" w:color="auto" w:fill="0A2540"/>
            <w:tcMar>
              <w:top w:w="120" w:type="dxa"/>
              <w:bottom w:w="120" w:type="dxa"/>
              <w:left w:w="140" w:type="dxa"/>
              <w:right w:w="140" w:type="dxa"/>
            </w:tcMar>
            <w:vAlign w:val="center"/>
          </w:tcPr>
          <w:p>
            <w:pPr>
              <w:jc w:val="left"/>
            </w:pPr>
            <w:r/>
            <w:r>
              <w:rPr>
                <w:b/>
                <w:color w:val="FFFFFF"/>
                <w:sz w:val="20"/>
              </w:rPr>
              <w:t>Tarif unitaire</w:t>
            </w:r>
          </w:p>
        </w:tc>
      </w:tr>
      <w:tr>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Salle AGORA Standard (50 part.)</w:t>
            </w:r>
          </w:p>
        </w:tc>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75 000 FCFA</w:t>
            </w:r>
          </w:p>
        </w:tc>
      </w:tr>
      <w:tr>
        <w:tc>
          <w:tcPr>
            <w:tcW w:type="dxa" w:w="45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Salle AGORA Premium (200 part.)</w:t>
            </w:r>
          </w:p>
        </w:tc>
        <w:tc>
          <w:tcPr>
            <w:tcW w:type="dxa" w:w="45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150 000 FCFA</w:t>
            </w:r>
          </w:p>
        </w:tc>
      </w:tr>
      <w:tr>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Salle AGORA Nationale (500+ part.)</w:t>
            </w:r>
          </w:p>
        </w:tc>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350 000 FCFA</w:t>
            </w:r>
          </w:p>
        </w:tc>
      </w:tr>
      <w:tr>
        <w:tc>
          <w:tcPr>
            <w:tcW w:type="dxa" w:w="45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Pack Amplification 360°</w:t>
            </w:r>
          </w:p>
        </w:tc>
        <w:tc>
          <w:tcPr>
            <w:tcW w:type="dxa" w:w="45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35 000 FCFA</w:t>
            </w:r>
          </w:p>
        </w:tc>
      </w:tr>
      <w:tr>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Rédaction communiqué</w:t>
            </w:r>
          </w:p>
        </w:tc>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15 000 FCFA / unité</w:t>
            </w:r>
          </w:p>
        </w:tc>
      </w:tr>
      <w:tr>
        <w:tc>
          <w:tcPr>
            <w:tcW w:type="dxa" w:w="45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Dossier de presse complet</w:t>
            </w:r>
          </w:p>
        </w:tc>
        <w:tc>
          <w:tcPr>
            <w:tcW w:type="dxa" w:w="45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75 000 FCFA</w:t>
            </w:r>
          </w:p>
        </w:tc>
      </w:tr>
      <w:tr>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Pack Influenceurs CI</w:t>
            </w:r>
          </w:p>
        </w:tc>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50 000 – 200 000 FCFA</w:t>
            </w:r>
          </w:p>
        </w:tc>
      </w:tr>
    </w:tbl>
    <w:p>
      <w:pPr>
        <w:spacing w:after="80"/>
      </w:pPr>
    </w:p>
    <w:p>
      <w:pPr>
        <w:spacing w:before="160" w:after="40"/>
      </w:pPr>
      <w:r>
        <w:rPr>
          <w:b/>
          <w:color w:val="B8862E"/>
          <w:sz w:val="22"/>
        </w:rPr>
        <w:t>Axe 3 — Variable (commissions FCM)</w:t>
      </w:r>
    </w:p>
    <w:p>
      <w:pPr>
        <w:spacing w:after="120" w:line="300" w:lineRule="auto"/>
        <w:jc w:val="left"/>
      </w:pPr>
      <w:r>
        <w:rPr>
          <w:b w:val="0"/>
          <w:i w:val="0"/>
          <w:sz w:val="22"/>
        </w:rPr>
        <w:t>Commission de 15% prélevée automatiquement sur chaque transaction FCM validée. Revenu entièrement variable et scalable, qui croît avec le volume d'événements organisés sur la plateforme.</w:t>
      </w:r>
    </w:p>
    <w:p>
      <w:r>
        <w:br w:type="page"/>
      </w:r>
    </w:p>
    <w:p>
      <w:pPr>
        <w:spacing w:before="360" w:after="40"/>
        <w:pBdr>
          <w:bottom w:val="single" w:sz="12" w:color="B8862E"/>
        </w:pBdr>
      </w:pPr>
      <w:r>
        <w:rPr>
          <w:rFonts w:ascii="Georgia" w:hAnsi="Georgia"/>
          <w:b/>
          <w:color w:val="0A2540"/>
          <w:sz w:val="36"/>
        </w:rPr>
        <w:t>5. PROJECTIONS FINANCIÈRES — 36 MOIS</w:t>
      </w:r>
    </w:p>
    <w:p>
      <w:pPr>
        <w:spacing w:after="120"/>
      </w:pPr>
    </w:p>
    <w:p>
      <w:pPr>
        <w:spacing w:before="280" w:after="80"/>
      </w:pPr>
      <w:r>
        <w:rPr>
          <w:rFonts w:ascii="Calibri" w:hAnsi="Calibri"/>
          <w:b/>
          <w:color w:val="0A2540"/>
          <w:sz w:val="26"/>
        </w:rPr>
        <w:t>5.1 Hypothèses de croissance</w:t>
      </w:r>
    </w:p>
    <w:p>
      <w:pPr>
        <w:pStyle w:val="ListBullet"/>
        <w:spacing w:after="60"/>
        <w:ind w:left="340"/>
      </w:pPr>
      <w:r/>
      <w:r>
        <w:rPr>
          <w:sz w:val="22"/>
        </w:rPr>
        <w:t>An 1 — 10% de pénétration du marché CI sur les abonnements + 2 salles virtuelles/semaine + activation FCM modérée.</w:t>
      </w:r>
    </w:p>
    <w:p>
      <w:pPr>
        <w:pStyle w:val="ListBullet"/>
        <w:spacing w:after="60"/>
        <w:ind w:left="340"/>
      </w:pPr>
      <w:r/>
      <w:r>
        <w:rPr>
          <w:sz w:val="22"/>
        </w:rPr>
        <w:t>An 2 — 25% de pénétration CI + lancement commercial Sénégal + croissance services à l'acte.</w:t>
      </w:r>
    </w:p>
    <w:p>
      <w:pPr>
        <w:pStyle w:val="ListBullet"/>
        <w:spacing w:after="60"/>
        <w:ind w:left="340"/>
      </w:pPr>
      <w:r/>
      <w:r>
        <w:rPr>
          <w:sz w:val="22"/>
        </w:rPr>
        <w:t>An 3 — 40% de pénétration CI + Sénégal + Burkina Faso + Mali + revenus agences RP en forte hausse.</w:t>
      </w:r>
    </w:p>
    <w:p>
      <w:pPr>
        <w:spacing w:before="280" w:after="80"/>
      </w:pPr>
      <w:r>
        <w:rPr>
          <w:rFonts w:ascii="Calibri" w:hAnsi="Calibri"/>
          <w:b/>
          <w:color w:val="0A2540"/>
          <w:sz w:val="26"/>
        </w:rPr>
        <w:t>5.2 Projection chiffre d'affaires</w:t>
      </w:r>
    </w:p>
    <w:tbl>
      <w:tblPr>
        <w:tblW w:type="auto" w:w="0"/>
        <w:jc w:val="center"/>
        <w:tblLook w:firstColumn="1" w:firstRow="1" w:lastColumn="0" w:lastRow="0" w:noHBand="0" w:noVBand="1" w:val="04A0"/>
      </w:tblPr>
      <w:tblGrid>
        <w:gridCol w:w="2436"/>
        <w:gridCol w:w="2436"/>
        <w:gridCol w:w="2436"/>
        <w:gridCol w:w="2436"/>
      </w:tblGrid>
      <w:tr>
        <w:tc>
          <w:tcPr>
            <w:tcW w:type="dxa" w:w="3685"/>
            <w:shd w:val="clear" w:color="auto" w:fill="0A2540"/>
            <w:tcMar>
              <w:top w:w="120" w:type="dxa"/>
              <w:bottom w:w="120" w:type="dxa"/>
              <w:left w:w="140" w:type="dxa"/>
              <w:right w:w="140" w:type="dxa"/>
            </w:tcMar>
            <w:vAlign w:val="center"/>
          </w:tcPr>
          <w:p>
            <w:pPr>
              <w:jc w:val="left"/>
            </w:pPr>
            <w:r/>
            <w:r>
              <w:rPr>
                <w:b/>
                <w:color w:val="FFFFFF"/>
                <w:sz w:val="20"/>
              </w:rPr>
              <w:t>Source de revenus</w:t>
            </w:r>
          </w:p>
        </w:tc>
        <w:tc>
          <w:tcPr>
            <w:tcW w:type="dxa" w:w="1814"/>
            <w:shd w:val="clear" w:color="auto" w:fill="0A2540"/>
            <w:tcMar>
              <w:top w:w="120" w:type="dxa"/>
              <w:bottom w:w="120" w:type="dxa"/>
              <w:left w:w="140" w:type="dxa"/>
              <w:right w:w="140" w:type="dxa"/>
            </w:tcMar>
            <w:vAlign w:val="center"/>
          </w:tcPr>
          <w:p>
            <w:pPr>
              <w:jc w:val="left"/>
            </w:pPr>
            <w:r/>
            <w:r>
              <w:rPr>
                <w:b/>
                <w:color w:val="FFFFFF"/>
                <w:sz w:val="20"/>
              </w:rPr>
              <w:t>An 1</w:t>
            </w:r>
          </w:p>
        </w:tc>
        <w:tc>
          <w:tcPr>
            <w:tcW w:type="dxa" w:w="1814"/>
            <w:shd w:val="clear" w:color="auto" w:fill="0A2540"/>
            <w:tcMar>
              <w:top w:w="120" w:type="dxa"/>
              <w:bottom w:w="120" w:type="dxa"/>
              <w:left w:w="140" w:type="dxa"/>
              <w:right w:w="140" w:type="dxa"/>
            </w:tcMar>
            <w:vAlign w:val="center"/>
          </w:tcPr>
          <w:p>
            <w:pPr>
              <w:jc w:val="left"/>
            </w:pPr>
            <w:r/>
            <w:r>
              <w:rPr>
                <w:b/>
                <w:color w:val="FFFFFF"/>
                <w:sz w:val="20"/>
              </w:rPr>
              <w:t>An 2</w:t>
            </w:r>
          </w:p>
        </w:tc>
        <w:tc>
          <w:tcPr>
            <w:tcW w:type="dxa" w:w="1814"/>
            <w:shd w:val="clear" w:color="auto" w:fill="0A2540"/>
            <w:tcMar>
              <w:top w:w="120" w:type="dxa"/>
              <w:bottom w:w="120" w:type="dxa"/>
              <w:left w:w="140" w:type="dxa"/>
              <w:right w:w="140" w:type="dxa"/>
            </w:tcMar>
            <w:vAlign w:val="center"/>
          </w:tcPr>
          <w:p>
            <w:pPr>
              <w:jc w:val="left"/>
            </w:pPr>
            <w:r/>
            <w:r>
              <w:rPr>
                <w:b/>
                <w:color w:val="FFFFFF"/>
                <w:sz w:val="20"/>
              </w:rPr>
              <w:t>An 3</w:t>
            </w:r>
          </w:p>
        </w:tc>
      </w:tr>
      <w:tr>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Abonnements MAIRIE (CI)</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5 760 000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14 400 000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23 040 000</w:t>
            </w:r>
          </w:p>
        </w:tc>
      </w:tr>
      <w:tr>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Abonnements ÉLU (CI)</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3 840 000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9 600 000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15 360 000</w:t>
            </w:r>
          </w:p>
        </w:tc>
      </w:tr>
      <w:tr>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Abonnements INSTITUTION</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4 500 000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9 000 000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18 000 000</w:t>
            </w:r>
          </w:p>
        </w:tc>
      </w:tr>
      <w:tr>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Abonnements AGENCE</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3 600 000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7 200 000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14 400 000</w:t>
            </w:r>
          </w:p>
        </w:tc>
      </w:tr>
      <w:tr>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Abonnements UEMOA</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7 200 000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18 000 000</w:t>
            </w:r>
          </w:p>
        </w:tc>
      </w:tr>
      <w:tr>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Salles AGORA (à l'acte)</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4 500 000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9 000 000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18 000 000</w:t>
            </w:r>
          </w:p>
        </w:tc>
      </w:tr>
      <w:tr>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Commissions FCM (15%)</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2 250 000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5 400 000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10 800 000</w:t>
            </w:r>
          </w:p>
        </w:tc>
      </w:tr>
      <w:tr>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Studio éditorial</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1 800 000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3 600 000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6 000 000</w:t>
            </w:r>
          </w:p>
        </w:tc>
      </w:tr>
      <w:tr>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Pack Amplification 360°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1 050 000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2 100 000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4 200 000</w:t>
            </w:r>
          </w:p>
        </w:tc>
      </w:tr>
      <w:tr>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CHIFFRE D'AFFAIRES TOTAL (FCFA)</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27 300 000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67 500 000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127 800 000</w:t>
            </w:r>
          </w:p>
        </w:tc>
      </w:tr>
    </w:tbl>
    <w:p>
      <w:pPr>
        <w:spacing w:after="80"/>
      </w:pPr>
    </w:p>
    <w:p>
      <w:pPr>
        <w:spacing w:before="280" w:after="80"/>
      </w:pPr>
      <w:r>
        <w:rPr>
          <w:rFonts w:ascii="Calibri" w:hAnsi="Calibri"/>
          <w:b/>
          <w:color w:val="0A2540"/>
          <w:sz w:val="26"/>
        </w:rPr>
        <w:t>5.3 Charges et résultat net</w:t>
      </w:r>
    </w:p>
    <w:tbl>
      <w:tblPr>
        <w:tblW w:type="auto" w:w="0"/>
        <w:jc w:val="center"/>
        <w:tblLook w:firstColumn="1" w:firstRow="1" w:lastColumn="0" w:lastRow="0" w:noHBand="0" w:noVBand="1" w:val="04A0"/>
      </w:tblPr>
      <w:tblGrid>
        <w:gridCol w:w="2436"/>
        <w:gridCol w:w="2436"/>
        <w:gridCol w:w="2436"/>
        <w:gridCol w:w="2436"/>
      </w:tblGrid>
      <w:tr>
        <w:tc>
          <w:tcPr>
            <w:tcW w:type="dxa" w:w="3685"/>
            <w:shd w:val="clear" w:color="auto" w:fill="0A2540"/>
            <w:tcMar>
              <w:top w:w="120" w:type="dxa"/>
              <w:bottom w:w="120" w:type="dxa"/>
              <w:left w:w="140" w:type="dxa"/>
              <w:right w:w="140" w:type="dxa"/>
            </w:tcMar>
            <w:vAlign w:val="center"/>
          </w:tcPr>
          <w:p>
            <w:pPr>
              <w:jc w:val="left"/>
            </w:pPr>
            <w:r/>
            <w:r>
              <w:rPr>
                <w:b/>
                <w:color w:val="FFFFFF"/>
                <w:sz w:val="20"/>
              </w:rPr>
              <w:t>Poste de charge</w:t>
            </w:r>
          </w:p>
        </w:tc>
        <w:tc>
          <w:tcPr>
            <w:tcW w:type="dxa" w:w="1814"/>
            <w:shd w:val="clear" w:color="auto" w:fill="0A2540"/>
            <w:tcMar>
              <w:top w:w="120" w:type="dxa"/>
              <w:bottom w:w="120" w:type="dxa"/>
              <w:left w:w="140" w:type="dxa"/>
              <w:right w:w="140" w:type="dxa"/>
            </w:tcMar>
            <w:vAlign w:val="center"/>
          </w:tcPr>
          <w:p>
            <w:pPr>
              <w:jc w:val="left"/>
            </w:pPr>
            <w:r/>
            <w:r>
              <w:rPr>
                <w:b/>
                <w:color w:val="FFFFFF"/>
                <w:sz w:val="20"/>
              </w:rPr>
              <w:t>An 1</w:t>
            </w:r>
          </w:p>
        </w:tc>
        <w:tc>
          <w:tcPr>
            <w:tcW w:type="dxa" w:w="1814"/>
            <w:shd w:val="clear" w:color="auto" w:fill="0A2540"/>
            <w:tcMar>
              <w:top w:w="120" w:type="dxa"/>
              <w:bottom w:w="120" w:type="dxa"/>
              <w:left w:w="140" w:type="dxa"/>
              <w:right w:w="140" w:type="dxa"/>
            </w:tcMar>
            <w:vAlign w:val="center"/>
          </w:tcPr>
          <w:p>
            <w:pPr>
              <w:jc w:val="left"/>
            </w:pPr>
            <w:r/>
            <w:r>
              <w:rPr>
                <w:b/>
                <w:color w:val="FFFFFF"/>
                <w:sz w:val="20"/>
              </w:rPr>
              <w:t>An 2</w:t>
            </w:r>
          </w:p>
        </w:tc>
        <w:tc>
          <w:tcPr>
            <w:tcW w:type="dxa" w:w="1814"/>
            <w:shd w:val="clear" w:color="auto" w:fill="0A2540"/>
            <w:tcMar>
              <w:top w:w="120" w:type="dxa"/>
              <w:bottom w:w="120" w:type="dxa"/>
              <w:left w:w="140" w:type="dxa"/>
              <w:right w:w="140" w:type="dxa"/>
            </w:tcMar>
            <w:vAlign w:val="center"/>
          </w:tcPr>
          <w:p>
            <w:pPr>
              <w:jc w:val="left"/>
            </w:pPr>
            <w:r/>
            <w:r>
              <w:rPr>
                <w:b/>
                <w:color w:val="FFFFFF"/>
                <w:sz w:val="20"/>
              </w:rPr>
              <w:t>An 3</w:t>
            </w:r>
          </w:p>
        </w:tc>
      </w:tr>
      <w:tr>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Développement plateforme</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8 000 000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4 000 000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4 000 000</w:t>
            </w:r>
          </w:p>
        </w:tc>
      </w:tr>
      <w:tr>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Infrastructure technique</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1 500 000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2 500 000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4 000 000</w:t>
            </w:r>
          </w:p>
        </w:tc>
      </w:tr>
      <w:tr>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Équipe (2 → 5 → 8 ETP)</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6 000 000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12 000 000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18 000 000</w:t>
            </w:r>
          </w:p>
        </w:tc>
      </w:tr>
      <w:tr>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Commercial et partenariats</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2 000 000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3 000 000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5 000 000</w:t>
            </w:r>
          </w:p>
        </w:tc>
      </w:tr>
      <w:tr>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Marketing et communication</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1 500 000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2 500 000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4 000 000</w:t>
            </w:r>
          </w:p>
        </w:tc>
      </w:tr>
      <w:tr>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Juridique et conformité</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1 200 000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800 000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800 000</w:t>
            </w:r>
          </w:p>
        </w:tc>
      </w:tr>
      <w:tr>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Formation partenaires médias</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500 000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500 000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500 000</w:t>
            </w:r>
          </w:p>
        </w:tc>
      </w:tr>
      <w:tr>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Divers et imprévus (10%)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2 070 000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2 530 000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3 630 000</w:t>
            </w:r>
          </w:p>
        </w:tc>
      </w:tr>
      <w:tr>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TOTAL CHARGES (FCFA)</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22 770 000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27 830 000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39 930 000</w:t>
            </w:r>
          </w:p>
        </w:tc>
      </w:tr>
      <w:tr>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RÉSULTAT NET (FCFA)</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+4 530 000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+39 670 000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+87 870 000</w:t>
            </w:r>
          </w:p>
        </w:tc>
      </w:tr>
      <w:tr>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Marge nette</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16,5%</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58,8%</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68,8%</w:t>
            </w:r>
          </w:p>
        </w:tc>
      </w:tr>
    </w:tbl>
    <w:p>
      <w:pPr>
        <w:spacing w:after="80"/>
      </w:pP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Note méthodologique : ces projections reposent sur des hypothèses conservatrices. Un partenariat actif avec l'Association des Directeurs de Publications et une traction commerciale supérieure aux prévisions peuvent significativement améliorer ces résultats dès l'année 1. À l'inverse, un retard de 3 mois dans le lancement décale le point de rentabilité de 1 trimestre sans menacer la viabilité du projet.</w:t>
            </w:r>
          </w:p>
        </w:tc>
      </w:tr>
    </w:tbl>
    <w:p>
      <w:pPr>
        <w:spacing w:after="40"/>
      </w:pPr>
    </w:p>
    <w:p>
      <w:pPr>
        <w:spacing w:before="280" w:after="80"/>
      </w:pPr>
      <w:r>
        <w:rPr>
          <w:rFonts w:ascii="Calibri" w:hAnsi="Calibri"/>
          <w:b/>
          <w:color w:val="0A2540"/>
          <w:sz w:val="26"/>
        </w:rPr>
        <w:t>5.4 Indicateurs opérationnels</w:t>
      </w:r>
    </w:p>
    <w:tbl>
      <w:tblPr>
        <w:tblW w:type="auto" w:w="0"/>
        <w:jc w:val="center"/>
        <w:tblLook w:firstColumn="1" w:firstRow="1" w:lastColumn="0" w:lastRow="0" w:noHBand="0" w:noVBand="1" w:val="04A0"/>
      </w:tblPr>
      <w:tblGrid>
        <w:gridCol w:w="2436"/>
        <w:gridCol w:w="2436"/>
        <w:gridCol w:w="2436"/>
        <w:gridCol w:w="2436"/>
      </w:tblGrid>
      <w:tr>
        <w:tc>
          <w:tcPr>
            <w:tcW w:type="dxa" w:w="3685"/>
            <w:shd w:val="clear" w:color="auto" w:fill="0A2540"/>
            <w:tcMar>
              <w:top w:w="120" w:type="dxa"/>
              <w:bottom w:w="120" w:type="dxa"/>
              <w:left w:w="140" w:type="dxa"/>
              <w:right w:w="140" w:type="dxa"/>
            </w:tcMar>
            <w:vAlign w:val="center"/>
          </w:tcPr>
          <w:p>
            <w:pPr>
              <w:jc w:val="left"/>
            </w:pPr>
            <w:r/>
            <w:r>
              <w:rPr>
                <w:b/>
                <w:color w:val="FFFFFF"/>
                <w:sz w:val="20"/>
              </w:rPr>
              <w:t>KPI opérationnel</w:t>
            </w:r>
          </w:p>
        </w:tc>
        <w:tc>
          <w:tcPr>
            <w:tcW w:type="dxa" w:w="1814"/>
            <w:shd w:val="clear" w:color="auto" w:fill="0A2540"/>
            <w:tcMar>
              <w:top w:w="120" w:type="dxa"/>
              <w:bottom w:w="120" w:type="dxa"/>
              <w:left w:w="140" w:type="dxa"/>
              <w:right w:w="140" w:type="dxa"/>
            </w:tcMar>
            <w:vAlign w:val="center"/>
          </w:tcPr>
          <w:p>
            <w:pPr>
              <w:jc w:val="left"/>
            </w:pPr>
            <w:r/>
            <w:r>
              <w:rPr>
                <w:b/>
                <w:color w:val="FFFFFF"/>
                <w:sz w:val="20"/>
              </w:rPr>
              <w:t>An 1</w:t>
            </w:r>
          </w:p>
        </w:tc>
        <w:tc>
          <w:tcPr>
            <w:tcW w:type="dxa" w:w="1814"/>
            <w:shd w:val="clear" w:color="auto" w:fill="0A2540"/>
            <w:tcMar>
              <w:top w:w="120" w:type="dxa"/>
              <w:bottom w:w="120" w:type="dxa"/>
              <w:left w:w="140" w:type="dxa"/>
              <w:right w:w="140" w:type="dxa"/>
            </w:tcMar>
            <w:vAlign w:val="center"/>
          </w:tcPr>
          <w:p>
            <w:pPr>
              <w:jc w:val="left"/>
            </w:pPr>
            <w:r/>
            <w:r>
              <w:rPr>
                <w:b/>
                <w:color w:val="FFFFFF"/>
                <w:sz w:val="20"/>
              </w:rPr>
              <w:t>An 2</w:t>
            </w:r>
          </w:p>
        </w:tc>
        <w:tc>
          <w:tcPr>
            <w:tcW w:type="dxa" w:w="1814"/>
            <w:shd w:val="clear" w:color="auto" w:fill="0A2540"/>
            <w:tcMar>
              <w:top w:w="120" w:type="dxa"/>
              <w:bottom w:w="120" w:type="dxa"/>
              <w:left w:w="140" w:type="dxa"/>
              <w:right w:w="140" w:type="dxa"/>
            </w:tcMar>
            <w:vAlign w:val="center"/>
          </w:tcPr>
          <w:p>
            <w:pPr>
              <w:jc w:val="left"/>
            </w:pPr>
            <w:r/>
            <w:r>
              <w:rPr>
                <w:b/>
                <w:color w:val="FFFFFF"/>
                <w:sz w:val="20"/>
              </w:rPr>
              <w:t>An 3</w:t>
            </w:r>
          </w:p>
        </w:tc>
      </w:tr>
      <w:tr>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Clients institutionnels actifs</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~35</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~110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~200</w:t>
            </w:r>
          </w:p>
        </w:tc>
      </w:tr>
      <w:tr>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Journalistes accrédités</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150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800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2 000</w:t>
            </w:r>
          </w:p>
        </w:tc>
      </w:tr>
      <w:tr>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Médias accrédités</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500</w:t>
            </w:r>
          </w:p>
        </w:tc>
      </w:tr>
      <w:tr>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Salles AGORA organisées / an</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~120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~280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~500</w:t>
            </w:r>
          </w:p>
        </w:tc>
      </w:tr>
      <w:tr>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Transactions FCM traitées / an</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~2 000</w:t>
            </w:r>
          </w:p>
        </w:tc>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~5 000</w:t>
            </w:r>
          </w:p>
        </w:tc>
      </w:tr>
      <w:tr>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Pénétration marché CI</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25%</w:t>
            </w:r>
          </w:p>
        </w:tc>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40%</w:t>
            </w:r>
          </w:p>
        </w:tc>
      </w:tr>
    </w:tbl>
    <w:p>
      <w:pPr>
        <w:spacing w:after="80"/>
      </w:pPr>
    </w:p>
    <w:p>
      <w:r>
        <w:br w:type="page"/>
      </w:r>
    </w:p>
    <w:p>
      <w:pPr>
        <w:spacing w:before="360" w:after="40"/>
        <w:pBdr>
          <w:bottom w:val="single" w:sz="12" w:color="B8862E"/>
        </w:pBdr>
      </w:pPr>
      <w:r>
        <w:rPr>
          <w:rFonts w:ascii="Georgia" w:hAnsi="Georgia"/>
          <w:b/>
          <w:color w:val="0A2540"/>
          <w:sz w:val="36"/>
        </w:rPr>
        <w:t>6. INVESTISSEMENT INITIAL — 18 M FCFA</w:t>
      </w:r>
    </w:p>
    <w:p>
      <w:pPr>
        <w:spacing w:after="120"/>
      </w:pPr>
    </w:p>
    <w:tbl>
      <w:tblPr>
        <w:tblW w:type="auto" w:w="0"/>
        <w:jc w:val="center"/>
        <w:tblLook w:firstColumn="1" w:firstRow="1" w:lastColumn="0" w:lastRow="0" w:noHBand="0" w:noVBand="1" w:val="04A0"/>
      </w:tblPr>
      <w:tblGrid>
        <w:gridCol w:w="3249"/>
        <w:gridCol w:w="3249"/>
        <w:gridCol w:w="3249"/>
      </w:tblGrid>
      <w:tr>
        <w:tc>
          <w:tcPr>
            <w:tcW w:type="dxa" w:w="3118"/>
            <w:shd w:val="clear" w:color="auto" w:fill="0A2540"/>
            <w:tcMar>
              <w:top w:w="120" w:type="dxa"/>
              <w:bottom w:w="120" w:type="dxa"/>
              <w:left w:w="140" w:type="dxa"/>
              <w:right w:w="140" w:type="dxa"/>
            </w:tcMar>
            <w:vAlign w:val="center"/>
          </w:tcPr>
          <w:p>
            <w:pPr>
              <w:jc w:val="left"/>
            </w:pPr>
            <w:r/>
            <w:r>
              <w:rPr>
                <w:b/>
                <w:color w:val="FFFFFF"/>
                <w:sz w:val="20"/>
              </w:rPr>
              <w:t>Poste</w:t>
            </w:r>
          </w:p>
        </w:tc>
        <w:tc>
          <w:tcPr>
            <w:tcW w:type="dxa" w:w="1984"/>
            <w:shd w:val="clear" w:color="auto" w:fill="0A2540"/>
            <w:tcMar>
              <w:top w:w="120" w:type="dxa"/>
              <w:bottom w:w="120" w:type="dxa"/>
              <w:left w:w="140" w:type="dxa"/>
              <w:right w:w="140" w:type="dxa"/>
            </w:tcMar>
            <w:vAlign w:val="center"/>
          </w:tcPr>
          <w:p>
            <w:pPr>
              <w:jc w:val="left"/>
            </w:pPr>
            <w:r/>
            <w:r>
              <w:rPr>
                <w:b/>
                <w:color w:val="FFFFFF"/>
                <w:sz w:val="20"/>
              </w:rPr>
              <w:t>Montant</w:t>
            </w:r>
          </w:p>
        </w:tc>
        <w:tc>
          <w:tcPr>
            <w:tcW w:type="dxa" w:w="3969"/>
            <w:shd w:val="clear" w:color="auto" w:fill="0A2540"/>
            <w:tcMar>
              <w:top w:w="120" w:type="dxa"/>
              <w:bottom w:w="120" w:type="dxa"/>
              <w:left w:w="140" w:type="dxa"/>
              <w:right w:w="140" w:type="dxa"/>
            </w:tcMar>
            <w:vAlign w:val="center"/>
          </w:tcPr>
          <w:p>
            <w:pPr>
              <w:jc w:val="left"/>
            </w:pPr>
            <w:r/>
            <w:r>
              <w:rPr>
                <w:b/>
                <w:color w:val="FFFFFF"/>
                <w:sz w:val="20"/>
              </w:rPr>
              <w:t>Détail</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Développement plateforme MVP</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8 000 000 FCFA</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Web + App Android/iOS/Desktop + Back-office</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Infrastructure technique (12 mois)</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1 500 000 FCFA</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Cloud, CDN, WebRTC, SMS, stockage vidéo</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Constitution structure juridique</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800 000 FCFA</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Notaire, greffe, ouverture compte pro</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Fonds de roulement (6 mois)</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4 500 000 FCFA</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Salaires équipe 2 personnes + charges fixes</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Commercial et partenariats</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2 000 000 FCFA</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Déplacements, démos, événements</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Réserve stratégique (10%)</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1 200 000 FCFA</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Imprévus</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TOTAL INVESTISSEMENT INITIAL</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18 000 000 FCFA</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r>
    </w:tbl>
    <w:p>
      <w:pPr>
        <w:spacing w:after="80"/>
      </w:pPr>
    </w:p>
    <w:p>
      <w:pPr>
        <w:spacing w:before="280" w:after="80"/>
      </w:pPr>
      <w:r>
        <w:rPr>
          <w:rFonts w:ascii="Calibri" w:hAnsi="Calibri"/>
          <w:b/>
          <w:color w:val="0A2540"/>
          <w:sz w:val="26"/>
        </w:rPr>
        <w:t>Sources de financement envisagées</w:t>
      </w:r>
    </w:p>
    <w:p>
      <w:pPr>
        <w:pStyle w:val="ListBullet"/>
        <w:spacing w:after="60"/>
        <w:ind w:left="340"/>
      </w:pPr>
      <w:r/>
      <w:r>
        <w:rPr>
          <w:sz w:val="22"/>
        </w:rPr>
        <w:t>Apport en capital du fondateur et associés — 30 à 40% du besoin (5,5 à 7 M FCFA).</w:t>
      </w:r>
    </w:p>
    <w:p>
      <w:pPr>
        <w:pStyle w:val="ListBullet"/>
        <w:spacing w:after="60"/>
        <w:ind w:left="340"/>
      </w:pPr>
      <w:r/>
      <w:r>
        <w:rPr>
          <w:sz w:val="22"/>
        </w:rPr>
        <w:t>Investisseurs privés / business angels CI — 40 à 50% (7 à 9 M FCFA).</w:t>
      </w:r>
    </w:p>
    <w:p>
      <w:pPr>
        <w:pStyle w:val="ListBullet"/>
        <w:spacing w:after="60"/>
        <w:ind w:left="340"/>
      </w:pPr>
      <w:r/>
      <w:r>
        <w:rPr>
          <w:sz w:val="22"/>
        </w:rPr>
        <w:t>Subvention ou prêt bancaire d'amorçage (BAD, fonds Tony Elumelu, BNI Côte d'Ivoire) — 20 à 30% (3,5 à 5 M FCFA).</w:t>
      </w:r>
    </w:p>
    <w:p>
      <w:pPr>
        <w:spacing w:before="360" w:after="40"/>
        <w:pBdr>
          <w:bottom w:val="single" w:sz="12" w:color="B8862E"/>
        </w:pBdr>
      </w:pPr>
      <w:r>
        <w:rPr>
          <w:rFonts w:ascii="Georgia" w:hAnsi="Georgia"/>
          <w:b/>
          <w:color w:val="0A2540"/>
          <w:sz w:val="36"/>
        </w:rPr>
        <w:t>7. PLAN DE TRÉSORERIE — 12 PREMIERS MOIS</w:t>
      </w:r>
    </w:p>
    <w:p>
      <w:pPr>
        <w:spacing w:after="120"/>
      </w:pPr>
    </w:p>
    <w:p>
      <w:pPr>
        <w:spacing w:after="120" w:line="300" w:lineRule="auto"/>
        <w:jc w:val="left"/>
      </w:pPr>
      <w:r>
        <w:rPr>
          <w:b w:val="0"/>
          <w:i w:val="0"/>
          <w:sz w:val="22"/>
        </w:rPr>
        <w:t>Hypothèse : levée de 18 M FCFA en M0. Charges réparties uniformément. Premier client payant en M8. Croissance progressive du CA mensuel jusqu'au M12.</w:t>
      </w:r>
    </w:p>
    <w:tbl>
      <w:tblPr>
        <w:tblW w:type="auto" w:w="0"/>
        <w:jc w:val="center"/>
        <w:tblLook w:firstColumn="1" w:firstRow="1" w:lastColumn="0" w:lastRow="0" w:noHBand="0" w:noVBand="1" w:val="04A0"/>
      </w:tblPr>
      <w:tblGrid>
        <w:gridCol w:w="2436"/>
        <w:gridCol w:w="2436"/>
        <w:gridCol w:w="2436"/>
        <w:gridCol w:w="2436"/>
      </w:tblGrid>
      <w:tr>
        <w:tc>
          <w:tcPr>
            <w:tcW w:type="dxa" w:w="1984"/>
            <w:shd w:val="clear" w:color="auto" w:fill="0A2540"/>
            <w:tcMar>
              <w:top w:w="120" w:type="dxa"/>
              <w:bottom w:w="120" w:type="dxa"/>
              <w:left w:w="140" w:type="dxa"/>
              <w:right w:w="140" w:type="dxa"/>
            </w:tcMar>
            <w:vAlign w:val="center"/>
          </w:tcPr>
          <w:p>
            <w:pPr>
              <w:jc w:val="left"/>
            </w:pPr>
            <w:r/>
            <w:r>
              <w:rPr>
                <w:b/>
                <w:color w:val="FFFFFF"/>
                <w:sz w:val="20"/>
              </w:rPr>
              <w:t>Trimestre</w:t>
            </w:r>
          </w:p>
        </w:tc>
        <w:tc>
          <w:tcPr>
            <w:tcW w:type="dxa" w:w="2268"/>
            <w:shd w:val="clear" w:color="auto" w:fill="0A2540"/>
            <w:tcMar>
              <w:top w:w="120" w:type="dxa"/>
              <w:bottom w:w="120" w:type="dxa"/>
              <w:left w:w="140" w:type="dxa"/>
              <w:right w:w="140" w:type="dxa"/>
            </w:tcMar>
            <w:vAlign w:val="center"/>
          </w:tcPr>
          <w:p>
            <w:pPr>
              <w:jc w:val="left"/>
            </w:pPr>
            <w:r/>
            <w:r>
              <w:rPr>
                <w:b/>
                <w:color w:val="FFFFFF"/>
                <w:sz w:val="20"/>
              </w:rPr>
              <w:t>Encaissements</w:t>
            </w:r>
          </w:p>
        </w:tc>
        <w:tc>
          <w:tcPr>
            <w:tcW w:type="dxa" w:w="2268"/>
            <w:shd w:val="clear" w:color="auto" w:fill="0A2540"/>
            <w:tcMar>
              <w:top w:w="120" w:type="dxa"/>
              <w:bottom w:w="120" w:type="dxa"/>
              <w:left w:w="140" w:type="dxa"/>
              <w:right w:w="140" w:type="dxa"/>
            </w:tcMar>
            <w:vAlign w:val="center"/>
          </w:tcPr>
          <w:p>
            <w:pPr>
              <w:jc w:val="left"/>
            </w:pPr>
            <w:r/>
            <w:r>
              <w:rPr>
                <w:b/>
                <w:color w:val="FFFFFF"/>
                <w:sz w:val="20"/>
              </w:rPr>
              <w:t>Décaissements</w:t>
            </w:r>
          </w:p>
        </w:tc>
        <w:tc>
          <w:tcPr>
            <w:tcW w:type="dxa" w:w="2551"/>
            <w:shd w:val="clear" w:color="auto" w:fill="0A2540"/>
            <w:tcMar>
              <w:top w:w="120" w:type="dxa"/>
              <w:bottom w:w="120" w:type="dxa"/>
              <w:left w:w="140" w:type="dxa"/>
              <w:right w:w="140" w:type="dxa"/>
            </w:tcMar>
            <w:vAlign w:val="center"/>
          </w:tcPr>
          <w:p>
            <w:pPr>
              <w:jc w:val="left"/>
            </w:pPr>
            <w:r/>
            <w:r>
              <w:rPr>
                <w:b/>
                <w:color w:val="FFFFFF"/>
                <w:sz w:val="20"/>
              </w:rPr>
              <w:t>Trésorerie nette cumulée</w:t>
            </w:r>
          </w:p>
        </w:tc>
      </w:tr>
      <w:tr>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T0 (apport)</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18 000 000</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0</w:t>
            </w:r>
          </w:p>
        </w:tc>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18 000 000</w:t>
            </w:r>
          </w:p>
        </w:tc>
      </w:tr>
      <w:tr>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T1 (M1-M3)</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0</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5 200 000</w:t>
            </w:r>
          </w:p>
        </w:tc>
        <w:tc>
          <w:tcPr>
            <w:tcW w:type="dxa" w:w="255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12 800 000</w:t>
            </w:r>
          </w:p>
        </w:tc>
      </w:tr>
      <w:tr>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T2 (M4-M6)</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0</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5 800 000</w:t>
            </w:r>
          </w:p>
        </w:tc>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7 000 000</w:t>
            </w:r>
          </w:p>
        </w:tc>
      </w:tr>
      <w:tr>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T3 (M7-M9)</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3 200 000</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5 800 000</w:t>
            </w:r>
          </w:p>
        </w:tc>
        <w:tc>
          <w:tcPr>
            <w:tcW w:type="dxa" w:w="255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4 400 000</w:t>
            </w:r>
          </w:p>
        </w:tc>
      </w:tr>
      <w:tr>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T4 (M10-M12)</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12 100 000</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5 970 000</w:t>
            </w:r>
          </w:p>
        </w:tc>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10 530 000</w:t>
            </w:r>
          </w:p>
        </w:tc>
      </w:tr>
      <w:tr>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Clôture An 1</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33 300 000</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22 770 000</w:t>
            </w:r>
          </w:p>
        </w:tc>
        <w:tc>
          <w:tcPr>
            <w:tcW w:type="dxa" w:w="255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10 530 000</w:t>
            </w:r>
          </w:p>
        </w:tc>
      </w:tr>
    </w:tbl>
    <w:p>
      <w:pPr>
        <w:spacing w:after="80"/>
      </w:pPr>
    </w:p>
    <w:p>
      <w:r>
        <w:br w:type="page"/>
      </w:r>
    </w:p>
    <w:p>
      <w:pPr>
        <w:spacing w:before="360" w:after="40"/>
        <w:pBdr>
          <w:bottom w:val="single" w:sz="12" w:color="B8862E"/>
        </w:pBdr>
      </w:pPr>
      <w:r>
        <w:rPr>
          <w:rFonts w:ascii="Georgia" w:hAnsi="Georgia"/>
          <w:b/>
          <w:color w:val="0A2540"/>
          <w:sz w:val="36"/>
        </w:rPr>
        <w:t>8. FEUILLE DE ROUTE — 24 MOIS</w:t>
      </w:r>
    </w:p>
    <w:p>
      <w:pPr>
        <w:spacing w:after="120"/>
      </w:pPr>
    </w:p>
    <w:tbl>
      <w:tblPr>
        <w:tblW w:type="auto" w:w="0"/>
        <w:jc w:val="center"/>
        <w:tblLook w:firstColumn="1" w:firstRow="1" w:lastColumn="0" w:lastRow="0" w:noHBand="0" w:noVBand="1" w:val="04A0"/>
      </w:tblPr>
      <w:tblGrid>
        <w:gridCol w:w="2436"/>
        <w:gridCol w:w="2436"/>
        <w:gridCol w:w="2436"/>
        <w:gridCol w:w="2436"/>
      </w:tblGrid>
      <w:tr>
        <w:tc>
          <w:tcPr>
            <w:tcW w:type="dxa" w:w="1984"/>
            <w:shd w:val="clear" w:color="auto" w:fill="0A2540"/>
            <w:tcMar>
              <w:top w:w="120" w:type="dxa"/>
              <w:bottom w:w="120" w:type="dxa"/>
              <w:left w:w="140" w:type="dxa"/>
              <w:right w:w="140" w:type="dxa"/>
            </w:tcMar>
            <w:vAlign w:val="center"/>
          </w:tcPr>
          <w:p>
            <w:pPr>
              <w:jc w:val="left"/>
            </w:pPr>
            <w:r/>
            <w:r>
              <w:rPr>
                <w:b/>
                <w:color w:val="FFFFFF"/>
                <w:sz w:val="20"/>
              </w:rPr>
              <w:t>Phase</w:t>
            </w:r>
          </w:p>
        </w:tc>
        <w:tc>
          <w:tcPr>
            <w:tcW w:type="dxa" w:w="1134"/>
            <w:shd w:val="clear" w:color="auto" w:fill="0A2540"/>
            <w:tcMar>
              <w:top w:w="120" w:type="dxa"/>
              <w:bottom w:w="120" w:type="dxa"/>
              <w:left w:w="140" w:type="dxa"/>
              <w:right w:w="140" w:type="dxa"/>
            </w:tcMar>
            <w:vAlign w:val="center"/>
          </w:tcPr>
          <w:p>
            <w:pPr>
              <w:jc w:val="left"/>
            </w:pPr>
            <w:r/>
            <w:r>
              <w:rPr>
                <w:b/>
                <w:color w:val="FFFFFF"/>
                <w:sz w:val="20"/>
              </w:rPr>
              <w:t>Période</w:t>
            </w:r>
          </w:p>
        </w:tc>
        <w:tc>
          <w:tcPr>
            <w:tcW w:type="dxa" w:w="4252"/>
            <w:shd w:val="clear" w:color="auto" w:fill="0A2540"/>
            <w:tcMar>
              <w:top w:w="120" w:type="dxa"/>
              <w:bottom w:w="120" w:type="dxa"/>
              <w:left w:w="140" w:type="dxa"/>
              <w:right w:w="140" w:type="dxa"/>
            </w:tcMar>
            <w:vAlign w:val="center"/>
          </w:tcPr>
          <w:p>
            <w:pPr>
              <w:jc w:val="left"/>
            </w:pPr>
            <w:r/>
            <w:r>
              <w:rPr>
                <w:b/>
                <w:color w:val="FFFFFF"/>
                <w:sz w:val="20"/>
              </w:rPr>
              <w:t>Objectif</w:t>
            </w:r>
          </w:p>
        </w:tc>
        <w:tc>
          <w:tcPr>
            <w:tcW w:type="dxa" w:w="1701"/>
            <w:shd w:val="clear" w:color="auto" w:fill="0A2540"/>
            <w:tcMar>
              <w:top w:w="120" w:type="dxa"/>
              <w:bottom w:w="120" w:type="dxa"/>
              <w:left w:w="140" w:type="dxa"/>
              <w:right w:w="140" w:type="dxa"/>
            </w:tcMar>
            <w:vAlign w:val="center"/>
          </w:tcPr>
          <w:p>
            <w:pPr>
              <w:jc w:val="left"/>
            </w:pPr>
            <w:r/>
            <w:r>
              <w:rPr>
                <w:b/>
                <w:color w:val="FFFFFF"/>
                <w:sz w:val="20"/>
              </w:rPr>
              <w:t>Budget</w:t>
            </w:r>
          </w:p>
        </w:tc>
      </w:tr>
      <w:tr>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Phase 0 — Fondation</w:t>
            </w:r>
          </w:p>
        </w:tc>
        <w:tc>
          <w:tcPr>
            <w:tcW w:type="dxa" w:w="113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M0 – M2</w:t>
            </w:r>
          </w:p>
        </w:tc>
        <w:tc>
          <w:tcPr>
            <w:tcW w:type="dxa" w:w="425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Constitution juridique, partenariat Association, recrutement CTO, CDC technique</w:t>
            </w:r>
          </w:p>
        </w:tc>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M FCFA</w:t>
            </w:r>
          </w:p>
        </w:tc>
      </w:tr>
      <w:tr>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Phase 1 — MVP</w:t>
            </w:r>
          </w:p>
        </w:tc>
        <w:tc>
          <w:tcPr>
            <w:tcW w:type="dxa" w:w="113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M2 – M5</w:t>
            </w:r>
          </w:p>
        </w:tc>
        <w:tc>
          <w:tcPr>
            <w:tcW w:type="dxa" w:w="425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Développement modules ÉMISSION + AGORA web + RÉSEAU + FCM + App V1, 5 médias pilotes</w:t>
            </w:r>
          </w:p>
        </w:tc>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 M FCFA</w:t>
            </w:r>
          </w:p>
        </w:tc>
      </w:tr>
      <w:tr>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Phase 2 — Lancement</w:t>
            </w:r>
          </w:p>
        </w:tc>
        <w:tc>
          <w:tcPr>
            <w:tcW w:type="dxa" w:w="113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M5 – M8</w:t>
            </w:r>
          </w:p>
        </w:tc>
        <w:tc>
          <w:tcPr>
            <w:tcW w:type="dxa" w:w="425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Lancement Abidjan, 20 premiers clients, activation FCM</w:t>
            </w:r>
          </w:p>
        </w:tc>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 M FCFA</w:t>
            </w:r>
          </w:p>
        </w:tc>
      </w:tr>
      <w:tr>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Phase 3 — Croissance CI</w:t>
            </w:r>
          </w:p>
        </w:tc>
        <w:tc>
          <w:tcPr>
            <w:tcW w:type="dxa" w:w="113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M8 – M12</w:t>
            </w:r>
          </w:p>
        </w:tc>
        <w:tc>
          <w:tcPr>
            <w:tcW w:type="dxa" w:w="425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Démarchage UVICOCI, Assemblée Nationale, modules AMPLIFICATION + IMPACT, 22 M FCFA ARR</w:t>
            </w:r>
          </w:p>
        </w:tc>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M FCFA</w:t>
            </w:r>
          </w:p>
        </w:tc>
      </w:tr>
      <w:tr>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Phase 4 — Sénégal</w:t>
            </w:r>
          </w:p>
        </w:tc>
        <w:tc>
          <w:tcPr>
            <w:tcW w:type="dxa" w:w="113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M12 – M18</w:t>
            </w:r>
          </w:p>
        </w:tc>
        <w:tc>
          <w:tcPr>
            <w:tcW w:type="dxa" w:w="425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Country Manager Dakar, partenariat local, lancement commercial, 15 M FCFA ARR Sénégal</w:t>
            </w:r>
          </w:p>
        </w:tc>
        <w:tc>
          <w:tcPr>
            <w:tcW w:type="dxa" w:w="170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 M FCFA</w:t>
            </w:r>
          </w:p>
        </w:tc>
      </w:tr>
      <w:tr>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Phase 5 — UEMOA</w:t>
            </w:r>
          </w:p>
        </w:tc>
        <w:tc>
          <w:tcPr>
            <w:tcW w:type="dxa" w:w="113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M18 – M24</w:t>
            </w:r>
          </w:p>
        </w:tc>
        <w:tc>
          <w:tcPr>
            <w:tcW w:type="dxa" w:w="425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Burkina Faso + Mali, marque HERALDO PRESS AFRICA, 80 M FCFA ARR total</w:t>
            </w:r>
          </w:p>
        </w:tc>
        <w:tc>
          <w:tcPr>
            <w:tcW w:type="dxa" w:w="170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 M FCFA</w:t>
            </w:r>
          </w:p>
        </w:tc>
      </w:tr>
    </w:tbl>
    <w:p>
      <w:pPr>
        <w:spacing w:after="80"/>
      </w:pPr>
    </w:p>
    <w:p>
      <w:pPr>
        <w:spacing w:before="360" w:after="40"/>
        <w:pBdr>
          <w:bottom w:val="single" w:sz="12" w:color="B8862E"/>
        </w:pBdr>
      </w:pPr>
      <w:r>
        <w:rPr>
          <w:rFonts w:ascii="Georgia" w:hAnsi="Georgia"/>
          <w:b/>
          <w:color w:val="0A2540"/>
          <w:sz w:val="36"/>
        </w:rPr>
        <w:t>9. ANALYSE SWOT</w:t>
      </w:r>
    </w:p>
    <w:p>
      <w:pPr>
        <w:spacing w:after="120"/>
      </w:pPr>
    </w:p>
    <w:tbl>
      <w:tblPr>
        <w:tblW w:type="auto" w:w="0"/>
        <w:jc w:val="center"/>
        <w:tblLook w:firstColumn="1" w:firstRow="1" w:lastColumn="0" w:lastRow="0" w:noHBand="0" w:noVBand="1" w:val="04A0"/>
      </w:tblPr>
      <w:tblGrid>
        <w:gridCol w:w="4873"/>
        <w:gridCol w:w="4873"/>
      </w:tblGrid>
      <w:tr>
        <w:tc>
          <w:tcPr>
            <w:tcW w:type="dxa" w:w="4535"/>
            <w:shd w:val="clear" w:color="auto" w:fill="0A2540"/>
            <w:tcMar>
              <w:top w:w="120" w:type="dxa"/>
              <w:bottom w:w="120" w:type="dxa"/>
              <w:left w:w="140" w:type="dxa"/>
              <w:right w:w="140" w:type="dxa"/>
            </w:tcMar>
            <w:vAlign w:val="center"/>
          </w:tcPr>
          <w:p>
            <w:pPr>
              <w:jc w:val="left"/>
            </w:pPr>
            <w:r/>
            <w:r>
              <w:rPr>
                <w:b/>
                <w:color w:val="FFFFFF"/>
                <w:sz w:val="20"/>
              </w:rPr>
              <w:t>FORCES</w:t>
            </w:r>
          </w:p>
        </w:tc>
        <w:tc>
          <w:tcPr>
            <w:tcW w:type="dxa" w:w="4535"/>
            <w:shd w:val="clear" w:color="auto" w:fill="0A2540"/>
            <w:tcMar>
              <w:top w:w="120" w:type="dxa"/>
              <w:bottom w:w="120" w:type="dxa"/>
              <w:left w:w="140" w:type="dxa"/>
              <w:right w:w="140" w:type="dxa"/>
            </w:tcMar>
            <w:vAlign w:val="center"/>
          </w:tcPr>
          <w:p>
            <w:pPr>
              <w:jc w:val="left"/>
            </w:pPr>
            <w:r/>
            <w:r>
              <w:rPr>
                <w:b/>
                <w:color w:val="FFFFFF"/>
                <w:sz w:val="20"/>
              </w:rPr>
              <w:t>FAIBLESSES</w:t>
            </w:r>
          </w:p>
        </w:tc>
      </w:tr>
      <w:tr>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 Solution unique sans concurrent direct local</w:t>
              <w:br/>
              <w:t>• Partenariat Association = barrière à l'entrée</w:t>
              <w:br/>
              <w:t>• Fondateur expérimenté, ancré localement</w:t>
              <w:br/>
              <w:t>• Modèle économique 3 axes équilibré</w:t>
              <w:br/>
              <w:t>• Rentabilité dès l'année 1</w:t>
              <w:br/>
              <w:t>• Marché adressable réel (221 M FCFA CI)</w:t>
            </w:r>
          </w:p>
        </w:tc>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 Marque inconnue à construire ex nihilo</w:t>
              <w:br/>
              <w:t>• Dépendance forte au CTO et à l'équipe technique</w:t>
              <w:br/>
              <w:t>• Trésorerie tendue les 6 premiers mois</w:t>
              <w:br/>
              <w:t>• Dépendance Mobile Money (Wave, Orange)</w:t>
              <w:br/>
              <w:t>• Cycle de vente long sur ministères</w:t>
              <w:br/>
              <w:t>• Pas encore d'historique / références</w:t>
            </w:r>
          </w:p>
        </w:tc>
      </w:tr>
    </w:tbl>
    <w:p>
      <w:pPr>
        <w:spacing w:after="80"/>
      </w:pPr>
    </w:p>
    <w:tbl>
      <w:tblPr>
        <w:tblW w:type="auto" w:w="0"/>
        <w:jc w:val="center"/>
        <w:tblLook w:firstColumn="1" w:firstRow="1" w:lastColumn="0" w:lastRow="0" w:noHBand="0" w:noVBand="1" w:val="04A0"/>
      </w:tblPr>
      <w:tblGrid>
        <w:gridCol w:w="4873"/>
        <w:gridCol w:w="4873"/>
      </w:tblGrid>
      <w:tr>
        <w:tc>
          <w:tcPr>
            <w:tcW w:type="dxa" w:w="4535"/>
            <w:shd w:val="clear" w:color="auto" w:fill="0A2540"/>
            <w:tcMar>
              <w:top w:w="120" w:type="dxa"/>
              <w:bottom w:w="120" w:type="dxa"/>
              <w:left w:w="140" w:type="dxa"/>
              <w:right w:w="140" w:type="dxa"/>
            </w:tcMar>
            <w:vAlign w:val="center"/>
          </w:tcPr>
          <w:p>
            <w:pPr>
              <w:jc w:val="left"/>
            </w:pPr>
            <w:r/>
            <w:r>
              <w:rPr>
                <w:b/>
                <w:color w:val="FFFFFF"/>
                <w:sz w:val="20"/>
              </w:rPr>
              <w:t>OPPORTUNITÉS</w:t>
            </w:r>
          </w:p>
        </w:tc>
        <w:tc>
          <w:tcPr>
            <w:tcW w:type="dxa" w:w="4535"/>
            <w:shd w:val="clear" w:color="auto" w:fill="0A2540"/>
            <w:tcMar>
              <w:top w:w="120" w:type="dxa"/>
              <w:bottom w:w="120" w:type="dxa"/>
              <w:left w:w="140" w:type="dxa"/>
              <w:right w:w="140" w:type="dxa"/>
            </w:tcMar>
            <w:vAlign w:val="center"/>
          </w:tcPr>
          <w:p>
            <w:pPr>
              <w:jc w:val="left"/>
            </w:pPr>
            <w:r/>
            <w:r>
              <w:rPr>
                <w:b/>
                <w:color w:val="FFFFFF"/>
                <w:sz w:val="20"/>
              </w:rPr>
              <w:t>MENACES</w:t>
            </w:r>
          </w:p>
        </w:tc>
      </w:tr>
      <w:tr>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 Aucun acteur local structuré sur ce marché</w:t>
              <w:br/>
              <w:t>• Pénétration Mobile Money massive en CI</w:t>
              <w:br/>
              <w:t>• Pression de redevabilité sur élus locaux</w:t>
              <w:br/>
              <w:t>• Marché UEMOA réplicable (1 884 communes)</w:t>
              <w:br/>
              <w:t>• Possibilité de levée de fonds régionale An 2</w:t>
              <w:br/>
              <w:t>• Demande institutionnelle de transparence</w:t>
            </w:r>
          </w:p>
        </w:tc>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 Année électorale qui gèle les budgets</w:t>
              <w:br/>
              <w:t>• Réglementation CNPCI / HACA évolutive</w:t>
              <w:br/>
              <w:t>• Résistance des journalistes au FCM</w:t>
              <w:br/>
              <w:t>• Copie par acteur étranger mieux financé</w:t>
              <w:br/>
              <w:t>• Volatilité Mobile Money (frais, pannes)</w:t>
              <w:br/>
              <w:t>• Risque géopolitique régional (Mali, BF)</w:t>
            </w:r>
          </w:p>
        </w:tc>
      </w:tr>
    </w:tbl>
    <w:p>
      <w:pPr>
        <w:spacing w:after="80"/>
      </w:pPr>
    </w:p>
    <w:p>
      <w:pPr>
        <w:spacing w:before="360" w:after="40"/>
        <w:pBdr>
          <w:bottom w:val="single" w:sz="12" w:color="B8862E"/>
        </w:pBdr>
      </w:pPr>
      <w:r>
        <w:rPr>
          <w:rFonts w:ascii="Georgia" w:hAnsi="Georgia"/>
          <w:b/>
          <w:color w:val="0A2540"/>
          <w:sz w:val="36"/>
        </w:rPr>
        <w:t>10. CONCLUSION</w:t>
      </w:r>
    </w:p>
    <w:p>
      <w:pPr>
        <w:spacing w:after="120"/>
      </w:pPr>
    </w:p>
    <w:p>
      <w:pPr>
        <w:spacing w:after="120" w:line="300" w:lineRule="auto"/>
        <w:jc w:val="both"/>
      </w:pPr>
      <w:r>
        <w:rPr>
          <w:b w:val="0"/>
          <w:i w:val="0"/>
          <w:sz w:val="22"/>
        </w:rPr>
        <w:t>HERALDO PRESS représente une opportunité unique de structurer et digitaliser un marché qui fonctionne aujourd'hui exclusivement sur des pratiques informelles. En combinant une marketplace médias, une salle de presse virtuelle professionnelle, un mécanisme innovant de fonds de couverture et une amplification digitale intégrée, HERALDO PRESS répond à des besoins réels et urgents d'acteurs institutionnels qui disposent des budgets nécessaires et manquent d'outils adaptés.</w:t>
      </w:r>
    </w:p>
    <w:p>
      <w:pPr>
        <w:spacing w:after="120" w:line="300" w:lineRule="auto"/>
        <w:jc w:val="both"/>
      </w:pPr>
      <w:r>
        <w:rPr>
          <w:b w:val="0"/>
          <w:i w:val="0"/>
          <w:sz w:val="22"/>
        </w:rPr>
        <w:t>Le positionnement initial sur le marché des collectivités et élus en Côte d'Ivoire, avant une extension UEMOA séquentielle, permet une approche progressive et maîtrisée du risque, avec un partenariat fondateur qui réduit considérablement les obstacles habituels au lancement d'une marketplace. Le projet est rentable dès l'année 1 sur une base conservatrice, et projette un chiffre d'affaires de 127 millions de FCFA en année 3, avec une expansion dans 4 pays de l'UEMOA.</w:t>
      </w:r>
    </w:p>
    <w:sectPr w:rsidR="00FC693F" w:rsidRPr="0006063C" w:rsidSect="00034616">
      <w:headerReference w:type="default" r:id="rId10"/>
      <w:footerReference w:type="default" r:id="rId11"/>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0"/>
        <w:sz w:val="16"/>
      </w:rPr>
      <w:t>« Votre message, notre mission. »  —  Document confidentiel  —  Avril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A6470"/>
        <w:sz w:val="16"/>
      </w:rPr>
      <w:t>HERALDO PRESS  |  Business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