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3600000" cy="1101000"/>
            <wp:docPr id="1" name="Picture 1"/>
            <wp:cNvGraphicFramePr>
              <a:graphicFrameLocks noChangeAspect="1"/>
            </wp:cNvGraphicFramePr>
            <a:graphic>
              <a:graphicData uri="http://schemas.openxmlformats.org/drawingml/2006/picture">
                <pic:pic>
                  <pic:nvPicPr>
                    <pic:cNvPr id="0" name="logo_principal.png"/>
                    <pic:cNvPicPr/>
                  </pic:nvPicPr>
                  <pic:blipFill>
                    <a:blip r:embed="rId9"/>
                    <a:stretch>
                      <a:fillRect/>
                    </a:stretch>
                  </pic:blipFill>
                  <pic:spPr>
                    <a:xfrm>
                      <a:off x="0" y="0"/>
                      <a:ext cx="3600000" cy="1101000"/>
                    </a:xfrm>
                    <a:prstGeom prst="rect"/>
                  </pic:spPr>
                </pic:pic>
              </a:graphicData>
            </a:graphic>
          </wp:inline>
        </w:drawing>
      </w:r>
    </w:p>
    <w:p/>
    <w:p/>
    <w:p/>
    <w:p>
      <w:pPr>
        <w:spacing w:after="120"/>
        <w:jc w:val="center"/>
      </w:pPr>
      <w:r>
        <w:rPr>
          <w:rFonts w:ascii="Calibri" w:hAnsi="Calibri"/>
          <w:b/>
          <w:color w:val="B8862E"/>
          <w:sz w:val="28"/>
        </w:rPr>
        <w:t>DOCUMENT D'ORGANISATION</w:t>
      </w:r>
    </w:p>
    <w:p>
      <w:pPr>
        <w:spacing w:after="240"/>
        <w:jc w:val="center"/>
      </w:pPr>
      <w:r>
        <w:rPr>
          <w:rFonts w:ascii="Georgia" w:hAnsi="Georgia"/>
          <w:b/>
          <w:color w:val="0A2540"/>
          <w:sz w:val="56"/>
        </w:rPr>
        <w:t>Organisation</w:t>
        <w:br/>
        <w:t>structurelle &amp; Budget</w:t>
      </w:r>
    </w:p>
    <w:p>
      <w:pPr>
        <w:spacing w:after="720"/>
        <w:jc w:val="center"/>
      </w:pPr>
      <w:r>
        <w:rPr>
          <w:i/>
          <w:color w:val="5A6470"/>
          <w:sz w:val="26"/>
        </w:rPr>
        <w:t>Architecture organisationnelle, gouvernance,</w:t>
        <w:br/>
        <w:t>budget de fonctionnement et plan de financement</w:t>
      </w:r>
    </w:p>
    <w:p>
      <w:pPr>
        <w:jc w:val="center"/>
      </w:pPr>
      <w:r>
        <w:rPr>
          <w:color w:val="B8862E"/>
          <w:sz w:val="28"/>
        </w:rPr>
        <w:t>— • —</w:t>
      </w:r>
    </w:p>
    <w:p/>
    <w:p/>
    <w:p/>
    <w:p/>
    <w:p/>
    <w:p/>
    <w:p/>
    <w:p/>
    <w:p>
      <w:pPr>
        <w:jc w:val="center"/>
      </w:pPr>
      <w:r>
        <w:rPr>
          <w:color w:val="5A6470"/>
          <w:sz w:val="18"/>
        </w:rPr>
        <w:t>Réf : HP-ORG-2026-005</w:t>
        <w:br/>
        <w:t>Avril 2026  |  Abidjan, Côte d'Ivoire</w:t>
        <w:br/>
        <w:br/>
        <w:t>Document confidentiel — Usage interne et investisseurs</w:t>
      </w:r>
    </w:p>
    <w:p>
      <w:r>
        <w:br w:type="page"/>
      </w:r>
    </w:p>
    <w:p>
      <w:pPr>
        <w:spacing w:before="360" w:after="40"/>
        <w:pBdr>
          <w:bottom w:val="single" w:sz="12" w:color="B8862E"/>
        </w:pBdr>
      </w:pPr>
      <w:r>
        <w:rPr>
          <w:rFonts w:ascii="Georgia" w:hAnsi="Georgia"/>
          <w:b/>
          <w:color w:val="0A2540"/>
          <w:sz w:val="36"/>
        </w:rPr>
        <w:t>1. FORME JURIDIQUE ET CAPITAL</w:t>
      </w:r>
    </w:p>
    <w:p>
      <w:pPr>
        <w:spacing w:after="120"/>
      </w:pPr>
    </w:p>
    <w:p>
      <w:pPr>
        <w:spacing w:before="280" w:after="80"/>
      </w:pPr>
      <w:r>
        <w:rPr>
          <w:rFonts w:ascii="Calibri" w:hAnsi="Calibri"/>
          <w:b/>
          <w:color w:val="0A2540"/>
          <w:sz w:val="26"/>
        </w:rPr>
        <w:t>1.1 Forme juridique recommandée</w:t>
      </w:r>
    </w:p>
    <w:p>
      <w:pPr>
        <w:spacing w:after="120" w:line="300" w:lineRule="auto"/>
        <w:jc w:val="both"/>
      </w:pPr>
      <w:r>
        <w:rPr>
          <w:b w:val="0"/>
          <w:i w:val="0"/>
          <w:sz w:val="22"/>
        </w:rPr>
        <w:t>Compte tenu du profil du projet (SaaS B2B, levée de fonds envisagée, ouverture du capital à des associés et à terme à des investisseurs), nous recommandons une SAS (Société par Actions Simplifiée) de droit ivoirien — alternativement une SARL si la structure de fondation reste familiale. La SAS offre une grande souplesse statutaire, facilite l'entrée de nouveaux associés et la mise en place de plans d'intéressement (BSPCE).</w:t>
      </w:r>
    </w:p>
    <w:tbl>
      <w:tblPr>
        <w:tblW w:type="auto" w:w="0"/>
        <w:jc w:val="center"/>
        <w:tblLook w:firstColumn="1" w:firstRow="1" w:lastColumn="0" w:lastRow="0" w:noHBand="0" w:noVBand="1" w:val="04A0"/>
      </w:tblPr>
      <w:tblGrid>
        <w:gridCol w:w="3249"/>
        <w:gridCol w:w="3249"/>
        <w:gridCol w:w="3249"/>
      </w:tblGrid>
      <w:tr>
        <w:tc>
          <w:tcPr>
            <w:tcW w:type="dxa" w:w="2551"/>
            <w:shd w:val="clear" w:color="auto" w:fill="0A2540"/>
            <w:tcMar>
              <w:top w:w="120" w:type="dxa"/>
              <w:bottom w:w="120" w:type="dxa"/>
              <w:left w:w="140" w:type="dxa"/>
              <w:right w:w="140" w:type="dxa"/>
            </w:tcMar>
            <w:vAlign w:val="center"/>
          </w:tcPr>
          <w:p>
            <w:pPr>
              <w:jc w:val="left"/>
            </w:pPr>
            <w:r/>
            <w:r>
              <w:rPr>
                <w:b/>
                <w:color w:val="FFFFFF"/>
                <w:sz w:val="20"/>
              </w:rPr>
              <w:t>Critère</w:t>
            </w:r>
          </w:p>
        </w:tc>
        <w:tc>
          <w:tcPr>
            <w:tcW w:type="dxa" w:w="3118"/>
            <w:shd w:val="clear" w:color="auto" w:fill="0A2540"/>
            <w:tcMar>
              <w:top w:w="120" w:type="dxa"/>
              <w:bottom w:w="120" w:type="dxa"/>
              <w:left w:w="140" w:type="dxa"/>
              <w:right w:w="140" w:type="dxa"/>
            </w:tcMar>
            <w:vAlign w:val="center"/>
          </w:tcPr>
          <w:p>
            <w:pPr>
              <w:jc w:val="left"/>
            </w:pPr>
            <w:r/>
            <w:r>
              <w:rPr>
                <w:b/>
                <w:color w:val="FFFFFF"/>
                <w:sz w:val="20"/>
              </w:rPr>
              <w:t>SAS</w:t>
            </w:r>
          </w:p>
        </w:tc>
        <w:tc>
          <w:tcPr>
            <w:tcW w:type="dxa" w:w="3402"/>
            <w:shd w:val="clear" w:color="auto" w:fill="0A2540"/>
            <w:tcMar>
              <w:top w:w="120" w:type="dxa"/>
              <w:bottom w:w="120" w:type="dxa"/>
              <w:left w:w="140" w:type="dxa"/>
              <w:right w:w="140" w:type="dxa"/>
            </w:tcMar>
            <w:vAlign w:val="center"/>
          </w:tcPr>
          <w:p>
            <w:pPr>
              <w:jc w:val="left"/>
            </w:pPr>
            <w:r/>
            <w:r>
              <w:rPr>
                <w:b/>
                <w:color w:val="FFFFFF"/>
                <w:sz w:val="20"/>
              </w:rPr>
              <w:t>SARL</w:t>
            </w:r>
          </w:p>
        </w:tc>
      </w:tr>
      <w:tr>
        <w:tc>
          <w:tcPr>
            <w:tcW w:type="dxa" w:w="255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Capital minimum</w:t>
            </w:r>
          </w:p>
        </w:tc>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Libre (recommandé : 1 000 000 FCFA)</w:t>
            </w:r>
          </w:p>
        </w:tc>
        <w:tc>
          <w:tcPr>
            <w:tcW w:type="dxa" w:w="340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1 000 000 FCFA</w:t>
            </w:r>
          </w:p>
        </w:tc>
      </w:tr>
      <w:tr>
        <w:tc>
          <w:tcPr>
            <w:tcW w:type="dxa" w:w="255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Nombre d'associés</w:t>
            </w:r>
          </w:p>
        </w:tc>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 à illimité</w:t>
            </w:r>
          </w:p>
        </w:tc>
        <w:tc>
          <w:tcPr>
            <w:tcW w:type="dxa" w:w="340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 à 50</w:t>
            </w:r>
          </w:p>
        </w:tc>
      </w:tr>
      <w:tr>
        <w:tc>
          <w:tcPr>
            <w:tcW w:type="dxa" w:w="255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Souplesse statutaire</w:t>
            </w:r>
          </w:p>
        </w:tc>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Très forte</w:t>
            </w:r>
          </w:p>
        </w:tc>
        <w:tc>
          <w:tcPr>
            <w:tcW w:type="dxa" w:w="340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Modérée</w:t>
            </w:r>
          </w:p>
        </w:tc>
      </w:tr>
      <w:tr>
        <w:tc>
          <w:tcPr>
            <w:tcW w:type="dxa" w:w="255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Ouverture du capital</w:t>
            </w:r>
          </w:p>
        </w:tc>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Facile (titres librement cessibles)</w:t>
            </w:r>
          </w:p>
        </w:tc>
        <w:tc>
          <w:tcPr>
            <w:tcW w:type="dxa" w:w="340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Plus contraignante</w:t>
            </w:r>
          </w:p>
        </w:tc>
      </w:tr>
      <w:tr>
        <w:tc>
          <w:tcPr>
            <w:tcW w:type="dxa" w:w="255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BSPCE / intéressement</w:t>
            </w:r>
          </w:p>
        </w:tc>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Oui</w:t>
            </w:r>
          </w:p>
        </w:tc>
        <w:tc>
          <w:tcPr>
            <w:tcW w:type="dxa" w:w="340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Difficile</w:t>
            </w:r>
          </w:p>
        </w:tc>
      </w:tr>
      <w:tr>
        <w:tc>
          <w:tcPr>
            <w:tcW w:type="dxa" w:w="255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Recommandation HERALDO</w:t>
            </w:r>
          </w:p>
        </w:tc>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 Recommandé</w:t>
            </w:r>
          </w:p>
        </w:tc>
        <w:tc>
          <w:tcPr>
            <w:tcW w:type="dxa" w:w="340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Alternative simple</w:t>
            </w:r>
          </w:p>
        </w:tc>
      </w:tr>
    </w:tbl>
    <w:p>
      <w:pPr>
        <w:spacing w:after="80"/>
      </w:pPr>
    </w:p>
    <w:p>
      <w:pPr>
        <w:spacing w:before="280" w:after="80"/>
      </w:pPr>
      <w:r>
        <w:rPr>
          <w:rFonts w:ascii="Calibri" w:hAnsi="Calibri"/>
          <w:b/>
          <w:color w:val="0A2540"/>
          <w:sz w:val="26"/>
        </w:rPr>
        <w:t>1.2 Capital social cible et répartition initiale</w:t>
      </w:r>
    </w:p>
    <w:tbl>
      <w:tblPr>
        <w:tblW w:type="auto" w:w="0"/>
        <w:jc w:val="center"/>
        <w:tblLook w:firstColumn="1" w:firstRow="1" w:lastColumn="0" w:lastRow="0" w:noHBand="0" w:noVBand="1" w:val="04A0"/>
      </w:tblPr>
      <w:tblGrid>
        <w:gridCol w:w="2436"/>
        <w:gridCol w:w="2436"/>
        <w:gridCol w:w="2436"/>
        <w:gridCol w:w="2436"/>
      </w:tblGrid>
      <w:tr>
        <w:tc>
          <w:tcPr>
            <w:tcW w:type="dxa" w:w="3118"/>
            <w:shd w:val="clear" w:color="auto" w:fill="0A2540"/>
            <w:tcMar>
              <w:top w:w="120" w:type="dxa"/>
              <w:bottom w:w="120" w:type="dxa"/>
              <w:left w:w="140" w:type="dxa"/>
              <w:right w:w="140" w:type="dxa"/>
            </w:tcMar>
            <w:vAlign w:val="center"/>
          </w:tcPr>
          <w:p>
            <w:pPr>
              <w:jc w:val="left"/>
            </w:pPr>
            <w:r/>
            <w:r>
              <w:rPr>
                <w:b/>
                <w:color w:val="FFFFFF"/>
                <w:sz w:val="20"/>
              </w:rPr>
              <w:t>Associé</w:t>
            </w:r>
          </w:p>
        </w:tc>
        <w:tc>
          <w:tcPr>
            <w:tcW w:type="dxa" w:w="2268"/>
            <w:shd w:val="clear" w:color="auto" w:fill="0A2540"/>
            <w:tcMar>
              <w:top w:w="120" w:type="dxa"/>
              <w:bottom w:w="120" w:type="dxa"/>
              <w:left w:w="140" w:type="dxa"/>
              <w:right w:w="140" w:type="dxa"/>
            </w:tcMar>
            <w:vAlign w:val="center"/>
          </w:tcPr>
          <w:p>
            <w:pPr>
              <w:jc w:val="left"/>
            </w:pPr>
            <w:r/>
            <w:r>
              <w:rPr>
                <w:b/>
                <w:color w:val="FFFFFF"/>
                <w:sz w:val="20"/>
              </w:rPr>
              <w:t>Apport</w:t>
            </w:r>
          </w:p>
        </w:tc>
        <w:tc>
          <w:tcPr>
            <w:tcW w:type="dxa" w:w="1701"/>
            <w:shd w:val="clear" w:color="auto" w:fill="0A2540"/>
            <w:tcMar>
              <w:top w:w="120" w:type="dxa"/>
              <w:bottom w:w="120" w:type="dxa"/>
              <w:left w:w="140" w:type="dxa"/>
              <w:right w:w="140" w:type="dxa"/>
            </w:tcMar>
            <w:vAlign w:val="center"/>
          </w:tcPr>
          <w:p>
            <w:pPr>
              <w:jc w:val="left"/>
            </w:pPr>
            <w:r/>
            <w:r>
              <w:rPr>
                <w:b/>
                <w:color w:val="FFFFFF"/>
                <w:sz w:val="20"/>
              </w:rPr>
              <w:t>Capital</w:t>
            </w:r>
          </w:p>
        </w:tc>
        <w:tc>
          <w:tcPr>
            <w:tcW w:type="dxa" w:w="1984"/>
            <w:shd w:val="clear" w:color="auto" w:fill="0A2540"/>
            <w:tcMar>
              <w:top w:w="120" w:type="dxa"/>
              <w:bottom w:w="120" w:type="dxa"/>
              <w:left w:w="140" w:type="dxa"/>
              <w:right w:w="140" w:type="dxa"/>
            </w:tcMar>
            <w:vAlign w:val="center"/>
          </w:tcPr>
          <w:p>
            <w:pPr>
              <w:jc w:val="left"/>
            </w:pPr>
            <w:r/>
            <w:r>
              <w:rPr>
                <w:b/>
                <w:color w:val="FFFFFF"/>
                <w:sz w:val="20"/>
              </w:rPr>
              <w:t>% détention</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Fondateur (Directeur Général)</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1 200 000 FCFA + apport en industrie</w:t>
            </w:r>
          </w:p>
        </w:tc>
        <w:tc>
          <w:tcPr>
            <w:tcW w:type="dxa" w:w="170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1 200 actions</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60%</w:t>
            </w:r>
          </w:p>
        </w:tc>
      </w:tr>
      <w:tr>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Associé technique (CTO)</w:t>
            </w:r>
          </w:p>
        </w:tc>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Apport en industrie</w:t>
            </w:r>
          </w:p>
        </w:tc>
        <w:tc>
          <w:tcPr>
            <w:tcW w:type="dxa" w:w="170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200 actions</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10%</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Investisseurs / business angels</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Numéraire</w:t>
            </w:r>
          </w:p>
        </w:tc>
        <w:tc>
          <w:tcPr>
            <w:tcW w:type="dxa" w:w="170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500 actions</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25%</w:t>
            </w:r>
          </w:p>
        </w:tc>
      </w:tr>
      <w:tr>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Pool BSPCE collaborateurs</w:t>
            </w:r>
          </w:p>
        </w:tc>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Réservé</w:t>
            </w:r>
          </w:p>
        </w:tc>
        <w:tc>
          <w:tcPr>
            <w:tcW w:type="dxa" w:w="170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100 actions</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TOTAL</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w:t>
            </w:r>
          </w:p>
        </w:tc>
        <w:tc>
          <w:tcPr>
            <w:tcW w:type="dxa" w:w="170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2 000 actions</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100%</w:t>
            </w:r>
          </w:p>
        </w:tc>
      </w:tr>
    </w:tbl>
    <w:p>
      <w:pPr>
        <w:spacing w:after="80"/>
      </w:pPr>
    </w:p>
    <w:tbl>
      <w:tblPr>
        <w:tblW w:type="auto" w:w="0"/>
        <w:tblLook w:firstColumn="1" w:firstRow="1" w:lastColumn="0" w:lastRow="0" w:noHBand="0" w:noVBand="1" w:val="04A0"/>
      </w:tblPr>
      <w:tblGrid>
        <w:gridCol w:w="9746"/>
      </w:tblGrid>
      <w:tr>
        <w:tc>
          <w:tcPr>
            <w:tcW w:type="dxa" w:w="9746"/>
            <w:tcBorders>
              <w:top w:sz="4" w:color="E8ECF0" w:val="single"/>
              <w:left w:sz="36" w:color="B8862E" w:val="single"/>
              <w:bottom w:sz="4" w:color="E8ECF0" w:val="single"/>
              <w:right w:sz="4" w:color="E8ECF0" w:val="single"/>
            </w:tcBorders>
            <w:shd w:val="clear" w:color="auto" w:fill="F7F9FB"/>
            <w:vAlign w:val="center"/>
            <w:tcMar>
              <w:top w:w="120" w:type="dxa"/>
              <w:bottom w:w="120" w:type="dxa"/>
              <w:left w:w="240" w:type="dxa"/>
              <w:right w:w="160" w:type="dxa"/>
            </w:tcMar>
          </w:tcPr>
          <w:p>
            <w:r/>
            <w:r>
              <w:rPr>
                <w:i/>
                <w:color w:val="0A2540"/>
                <w:sz w:val="22"/>
              </w:rPr>
              <w:t>Recommandation : libérer 25% du capital à la constitution (250 000 FCFA), libérer le solde dans les 5 ans. Inscrire dans les statuts une clause d'agrément pour préserver le contrôle fondateur lors d'éventuelles cessions de titres.</w:t>
            </w:r>
          </w:p>
        </w:tc>
      </w:tr>
    </w:tbl>
    <w:p>
      <w:pPr>
        <w:spacing w:after="40"/>
      </w:pPr>
    </w:p>
    <w:p>
      <w:pPr>
        <w:spacing w:before="360" w:after="40"/>
        <w:pBdr>
          <w:bottom w:val="single" w:sz="12" w:color="B8862E"/>
        </w:pBdr>
      </w:pPr>
      <w:r>
        <w:rPr>
          <w:rFonts w:ascii="Georgia" w:hAnsi="Georgia"/>
          <w:b/>
          <w:color w:val="0A2540"/>
          <w:sz w:val="36"/>
        </w:rPr>
        <w:t>2. ORGANIGRAMME</w:t>
      </w:r>
    </w:p>
    <w:p>
      <w:pPr>
        <w:spacing w:after="120"/>
      </w:pPr>
    </w:p>
    <w:p>
      <w:pPr>
        <w:spacing w:before="280" w:after="80"/>
      </w:pPr>
      <w:r>
        <w:rPr>
          <w:rFonts w:ascii="Calibri" w:hAnsi="Calibri"/>
          <w:b/>
          <w:color w:val="0A2540"/>
          <w:sz w:val="26"/>
        </w:rPr>
        <w:t>2.1 Organigramme cible An 1 (5 ETP)</w:t>
      </w:r>
    </w:p>
    <w:tbl>
      <w:tblPr>
        <w:tblW w:type="auto" w:w="0"/>
        <w:jc w:val="center"/>
        <w:tblLook w:firstColumn="1" w:firstRow="1" w:lastColumn="0" w:lastRow="0" w:noHBand="0" w:noVBand="1" w:val="04A0"/>
      </w:tblPr>
      <w:tblGrid>
        <w:gridCol w:w="3249"/>
        <w:gridCol w:w="3249"/>
        <w:gridCol w:w="3249"/>
      </w:tblGrid>
      <w:tr>
        <w:tc>
          <w:tcPr>
            <w:tcW w:type="dxa" w:w="2835"/>
            <w:shd w:val="clear" w:color="auto" w:fill="0A2540"/>
            <w:tcMar>
              <w:top w:w="120" w:type="dxa"/>
              <w:bottom w:w="120" w:type="dxa"/>
              <w:left w:w="140" w:type="dxa"/>
              <w:right w:w="140" w:type="dxa"/>
            </w:tcMar>
            <w:vAlign w:val="center"/>
          </w:tcPr>
          <w:p>
            <w:pPr>
              <w:jc w:val="left"/>
            </w:pPr>
            <w:r/>
            <w:r>
              <w:rPr>
                <w:b/>
                <w:color w:val="FFFFFF"/>
                <w:sz w:val="20"/>
              </w:rPr>
              <w:t>Niveau</w:t>
            </w:r>
          </w:p>
        </w:tc>
        <w:tc>
          <w:tcPr>
            <w:tcW w:type="dxa" w:w="3969"/>
            <w:shd w:val="clear" w:color="auto" w:fill="0A2540"/>
            <w:tcMar>
              <w:top w:w="120" w:type="dxa"/>
              <w:bottom w:w="120" w:type="dxa"/>
              <w:left w:w="140" w:type="dxa"/>
              <w:right w:w="140" w:type="dxa"/>
            </w:tcMar>
            <w:vAlign w:val="center"/>
          </w:tcPr>
          <w:p>
            <w:pPr>
              <w:jc w:val="left"/>
            </w:pPr>
            <w:r/>
            <w:r>
              <w:rPr>
                <w:b/>
                <w:color w:val="FFFFFF"/>
                <w:sz w:val="20"/>
              </w:rPr>
              <w:t>Fonction</w:t>
            </w:r>
          </w:p>
        </w:tc>
        <w:tc>
          <w:tcPr>
            <w:tcW w:type="dxa" w:w="2268"/>
            <w:shd w:val="clear" w:color="auto" w:fill="0A2540"/>
            <w:tcMar>
              <w:top w:w="120" w:type="dxa"/>
              <w:bottom w:w="120" w:type="dxa"/>
              <w:left w:w="140" w:type="dxa"/>
              <w:right w:w="140" w:type="dxa"/>
            </w:tcMar>
            <w:vAlign w:val="center"/>
          </w:tcPr>
          <w:p>
            <w:pPr>
              <w:jc w:val="left"/>
            </w:pPr>
            <w:r/>
            <w:r>
              <w:rPr>
                <w:b/>
                <w:color w:val="FFFFFF"/>
                <w:sz w:val="20"/>
              </w:rPr>
              <w:t>Effectif</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N+0</w:t>
            </w:r>
          </w:p>
        </w:tc>
        <w:tc>
          <w:tcPr>
            <w:tcW w:type="dxa" w:w="3969"/>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Directeur Général (Fondateur)</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N+1 — Pôle Tech</w:t>
            </w:r>
          </w:p>
        </w:tc>
        <w:tc>
          <w:tcPr>
            <w:tcW w:type="dxa" w:w="3969"/>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Directeur Technique (CTO)</w:t>
            </w:r>
          </w:p>
        </w:tc>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r>
          </w:p>
        </w:tc>
        <w:tc>
          <w:tcPr>
            <w:tcW w:type="dxa" w:w="3969"/>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Lead Developer Full-Stack</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N+1 — Pôle Commercial</w:t>
            </w:r>
          </w:p>
        </w:tc>
        <w:tc>
          <w:tcPr>
            <w:tcW w:type="dxa" w:w="3969"/>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Responsable Commercial CI</w:t>
            </w:r>
          </w:p>
        </w:tc>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r>
          </w:p>
        </w:tc>
        <w:tc>
          <w:tcPr>
            <w:tcW w:type="dxa" w:w="3969"/>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Customer Success Manager</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TOTAL</w:t>
            </w:r>
          </w:p>
        </w:tc>
        <w:tc>
          <w:tcPr>
            <w:tcW w:type="dxa" w:w="3969"/>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w:t>
            </w:r>
          </w:p>
        </w:tc>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 ETP</w:t>
            </w:r>
          </w:p>
        </w:tc>
      </w:tr>
    </w:tbl>
    <w:p>
      <w:pPr>
        <w:spacing w:after="80"/>
      </w:pPr>
    </w:p>
    <w:p>
      <w:pPr>
        <w:spacing w:before="280" w:after="80"/>
      </w:pPr>
      <w:r>
        <w:rPr>
          <w:rFonts w:ascii="Calibri" w:hAnsi="Calibri"/>
          <w:b/>
          <w:color w:val="0A2540"/>
          <w:sz w:val="26"/>
        </w:rPr>
        <w:t>2.2 Organigramme cible An 2 (7 ETP)</w:t>
      </w:r>
    </w:p>
    <w:tbl>
      <w:tblPr>
        <w:tblW w:type="auto" w:w="0"/>
        <w:jc w:val="center"/>
        <w:tblLook w:firstColumn="1" w:firstRow="1" w:lastColumn="0" w:lastRow="0" w:noHBand="0" w:noVBand="1" w:val="04A0"/>
      </w:tblPr>
      <w:tblGrid>
        <w:gridCol w:w="3249"/>
        <w:gridCol w:w="3249"/>
        <w:gridCol w:w="3249"/>
      </w:tblGrid>
      <w:tr>
        <w:tc>
          <w:tcPr>
            <w:tcW w:type="dxa" w:w="2835"/>
            <w:shd w:val="clear" w:color="auto" w:fill="0A2540"/>
            <w:tcMar>
              <w:top w:w="120" w:type="dxa"/>
              <w:bottom w:w="120" w:type="dxa"/>
              <w:left w:w="140" w:type="dxa"/>
              <w:right w:w="140" w:type="dxa"/>
            </w:tcMar>
            <w:vAlign w:val="center"/>
          </w:tcPr>
          <w:p>
            <w:pPr>
              <w:jc w:val="left"/>
            </w:pPr>
            <w:r/>
            <w:r>
              <w:rPr>
                <w:b/>
                <w:color w:val="FFFFFF"/>
                <w:sz w:val="20"/>
              </w:rPr>
              <w:t>Niveau</w:t>
            </w:r>
          </w:p>
        </w:tc>
        <w:tc>
          <w:tcPr>
            <w:tcW w:type="dxa" w:w="3969"/>
            <w:shd w:val="clear" w:color="auto" w:fill="0A2540"/>
            <w:tcMar>
              <w:top w:w="120" w:type="dxa"/>
              <w:bottom w:w="120" w:type="dxa"/>
              <w:left w:w="140" w:type="dxa"/>
              <w:right w:w="140" w:type="dxa"/>
            </w:tcMar>
            <w:vAlign w:val="center"/>
          </w:tcPr>
          <w:p>
            <w:pPr>
              <w:jc w:val="left"/>
            </w:pPr>
            <w:r/>
            <w:r>
              <w:rPr>
                <w:b/>
                <w:color w:val="FFFFFF"/>
                <w:sz w:val="20"/>
              </w:rPr>
              <w:t>Fonction</w:t>
            </w:r>
          </w:p>
        </w:tc>
        <w:tc>
          <w:tcPr>
            <w:tcW w:type="dxa" w:w="2268"/>
            <w:shd w:val="clear" w:color="auto" w:fill="0A2540"/>
            <w:tcMar>
              <w:top w:w="120" w:type="dxa"/>
              <w:bottom w:w="120" w:type="dxa"/>
              <w:left w:w="140" w:type="dxa"/>
              <w:right w:w="140" w:type="dxa"/>
            </w:tcMar>
            <w:vAlign w:val="center"/>
          </w:tcPr>
          <w:p>
            <w:pPr>
              <w:jc w:val="left"/>
            </w:pPr>
            <w:r/>
            <w:r>
              <w:rPr>
                <w:b/>
                <w:color w:val="FFFFFF"/>
                <w:sz w:val="20"/>
              </w:rPr>
              <w:t>Effectif</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N+0</w:t>
            </w:r>
          </w:p>
        </w:tc>
        <w:tc>
          <w:tcPr>
            <w:tcW w:type="dxa" w:w="3969"/>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Directeur Général (Fondateur)</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N+1 — Pôle Tech</w:t>
            </w:r>
          </w:p>
        </w:tc>
        <w:tc>
          <w:tcPr>
            <w:tcW w:type="dxa" w:w="3969"/>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Directeur Technique (CTO)</w:t>
            </w:r>
          </w:p>
        </w:tc>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r>
          </w:p>
        </w:tc>
        <w:tc>
          <w:tcPr>
            <w:tcW w:type="dxa" w:w="3969"/>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Lead Developer Full-Stack</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r>
          </w:p>
        </w:tc>
        <w:tc>
          <w:tcPr>
            <w:tcW w:type="dxa" w:w="3969"/>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Mobile / App Developer</w:t>
            </w:r>
          </w:p>
        </w:tc>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N+1 — Pôle Commercial CI</w:t>
            </w:r>
          </w:p>
        </w:tc>
        <w:tc>
          <w:tcPr>
            <w:tcW w:type="dxa" w:w="3969"/>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Responsable Commercial CI</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r>
          </w:p>
        </w:tc>
        <w:tc>
          <w:tcPr>
            <w:tcW w:type="dxa" w:w="3969"/>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Customer Success Manager</w:t>
            </w:r>
          </w:p>
        </w:tc>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N+1 — Pôle Sénégal</w:t>
            </w:r>
          </w:p>
        </w:tc>
        <w:tc>
          <w:tcPr>
            <w:tcW w:type="dxa" w:w="3969"/>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Country Manager Sénégal</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TOTAL</w:t>
            </w:r>
          </w:p>
        </w:tc>
        <w:tc>
          <w:tcPr>
            <w:tcW w:type="dxa" w:w="3969"/>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w:t>
            </w:r>
          </w:p>
        </w:tc>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7 ETP</w:t>
            </w:r>
          </w:p>
        </w:tc>
      </w:tr>
    </w:tbl>
    <w:p>
      <w:pPr>
        <w:spacing w:after="80"/>
      </w:pPr>
    </w:p>
    <w:p>
      <w:pPr>
        <w:spacing w:before="280" w:after="80"/>
      </w:pPr>
      <w:r>
        <w:rPr>
          <w:rFonts w:ascii="Calibri" w:hAnsi="Calibri"/>
          <w:b/>
          <w:color w:val="0A2540"/>
          <w:sz w:val="26"/>
        </w:rPr>
        <w:t>2.3 Organigramme cible An 3 (8 ETP)</w:t>
      </w:r>
    </w:p>
    <w:p>
      <w:pPr>
        <w:spacing w:after="120" w:line="300" w:lineRule="auto"/>
        <w:jc w:val="left"/>
      </w:pPr>
      <w:r>
        <w:rPr>
          <w:b w:val="0"/>
          <w:i w:val="0"/>
          <w:sz w:val="22"/>
        </w:rPr>
        <w:t>Ajout d'un Marketing &amp; Communication Manager au siège Abidjan en M24, permettant à l'équipe commerciale de se concentrer sur la conversion et le suivi des comptes.</w:t>
      </w:r>
    </w:p>
    <w:p>
      <w:r>
        <w:br w:type="page"/>
      </w:r>
    </w:p>
    <w:p>
      <w:pPr>
        <w:spacing w:before="360" w:after="40"/>
        <w:pBdr>
          <w:bottom w:val="single" w:sz="12" w:color="B8862E"/>
        </w:pBdr>
      </w:pPr>
      <w:r>
        <w:rPr>
          <w:rFonts w:ascii="Georgia" w:hAnsi="Georgia"/>
          <w:b/>
          <w:color w:val="0A2540"/>
          <w:sz w:val="36"/>
        </w:rPr>
        <w:t>3. DESCRIPTION DES PÔLES FONCTIONNELS</w:t>
      </w:r>
    </w:p>
    <w:p>
      <w:pPr>
        <w:spacing w:after="120"/>
      </w:pPr>
    </w:p>
    <w:p>
      <w:pPr>
        <w:spacing w:before="280" w:after="80"/>
      </w:pPr>
      <w:r>
        <w:rPr>
          <w:rFonts w:ascii="Calibri" w:hAnsi="Calibri"/>
          <w:b/>
          <w:color w:val="0A2540"/>
          <w:sz w:val="26"/>
        </w:rPr>
        <w:t>3.1 Pôle Direction Générale</w:t>
      </w:r>
    </w:p>
    <w:p>
      <w:pPr>
        <w:spacing w:before="160" w:after="40"/>
      </w:pPr>
      <w:r>
        <w:rPr>
          <w:b/>
          <w:color w:val="B8862E"/>
          <w:sz w:val="22"/>
        </w:rPr>
        <w:t>Périmètre</w:t>
      </w:r>
    </w:p>
    <w:p>
      <w:pPr>
        <w:pStyle w:val="ListBullet"/>
        <w:spacing w:after="60"/>
        <w:ind w:left="340"/>
      </w:pPr>
      <w:r/>
      <w:r>
        <w:rPr>
          <w:sz w:val="22"/>
        </w:rPr>
        <w:t>Vision stratégique et arbitrages structurants.</w:t>
      </w:r>
    </w:p>
    <w:p>
      <w:pPr>
        <w:pStyle w:val="ListBullet"/>
        <w:spacing w:after="60"/>
        <w:ind w:left="340"/>
      </w:pPr>
      <w:r/>
      <w:r>
        <w:rPr>
          <w:sz w:val="22"/>
        </w:rPr>
        <w:t>Relations institutionnelles de haut niveau (Association des Directeurs de Publications, UVICOCI, ministères).</w:t>
      </w:r>
    </w:p>
    <w:p>
      <w:pPr>
        <w:pStyle w:val="ListBullet"/>
        <w:spacing w:after="60"/>
        <w:ind w:left="340"/>
      </w:pPr>
      <w:r/>
      <w:r>
        <w:rPr>
          <w:sz w:val="22"/>
        </w:rPr>
        <w:t>Représentation publique et porte-parolat.</w:t>
      </w:r>
    </w:p>
    <w:p>
      <w:pPr>
        <w:pStyle w:val="ListBullet"/>
        <w:spacing w:after="60"/>
        <w:ind w:left="340"/>
      </w:pPr>
      <w:r/>
      <w:r>
        <w:rPr>
          <w:sz w:val="22"/>
        </w:rPr>
        <w:t>Pilotage financier et levées de fonds.</w:t>
      </w:r>
    </w:p>
    <w:p>
      <w:pPr>
        <w:pStyle w:val="ListBullet"/>
        <w:spacing w:after="60"/>
        <w:ind w:left="340"/>
      </w:pPr>
      <w:r/>
      <w:r>
        <w:rPr>
          <w:sz w:val="22"/>
        </w:rPr>
        <w:t>Politique RH et culture d'entreprise.</w:t>
      </w:r>
    </w:p>
    <w:p>
      <w:pPr>
        <w:spacing w:before="280" w:after="80"/>
      </w:pPr>
      <w:r>
        <w:rPr>
          <w:rFonts w:ascii="Calibri" w:hAnsi="Calibri"/>
          <w:b/>
          <w:color w:val="0A2540"/>
          <w:sz w:val="26"/>
        </w:rPr>
        <w:t>3.2 Pôle Technique</w:t>
      </w:r>
    </w:p>
    <w:p>
      <w:pPr>
        <w:spacing w:before="160" w:after="40"/>
      </w:pPr>
      <w:r>
        <w:rPr>
          <w:b/>
          <w:color w:val="B8862E"/>
          <w:sz w:val="22"/>
        </w:rPr>
        <w:t>Périmètre</w:t>
      </w:r>
    </w:p>
    <w:p>
      <w:pPr>
        <w:pStyle w:val="ListBullet"/>
        <w:spacing w:after="60"/>
        <w:ind w:left="340"/>
      </w:pPr>
      <w:r/>
      <w:r>
        <w:rPr>
          <w:sz w:val="22"/>
        </w:rPr>
        <w:t>Conception et évolution de l'architecture technique.</w:t>
      </w:r>
    </w:p>
    <w:p>
      <w:pPr>
        <w:pStyle w:val="ListBullet"/>
        <w:spacing w:after="60"/>
        <w:ind w:left="340"/>
      </w:pPr>
      <w:r/>
      <w:r>
        <w:rPr>
          <w:sz w:val="22"/>
        </w:rPr>
        <w:t>Développement plateforme web (NestJS / Next.js / PostgreSQL).</w:t>
      </w:r>
    </w:p>
    <w:p>
      <w:pPr>
        <w:pStyle w:val="ListBullet"/>
        <w:spacing w:after="60"/>
        <w:ind w:left="340"/>
      </w:pPr>
      <w:r/>
      <w:r>
        <w:rPr>
          <w:sz w:val="22"/>
        </w:rPr>
        <w:t>Développement application HÉRALDO Journaliste (React Native / Electron).</w:t>
      </w:r>
    </w:p>
    <w:p>
      <w:pPr>
        <w:pStyle w:val="ListBullet"/>
        <w:spacing w:after="60"/>
        <w:ind w:left="340"/>
      </w:pPr>
      <w:r/>
      <w:r>
        <w:rPr>
          <w:sz w:val="22"/>
        </w:rPr>
        <w:t>Infrastructure cloud, sécurité, conformité technique.</w:t>
      </w:r>
    </w:p>
    <w:p>
      <w:pPr>
        <w:pStyle w:val="ListBullet"/>
        <w:spacing w:after="60"/>
        <w:ind w:left="340"/>
      </w:pPr>
      <w:r/>
      <w:r>
        <w:rPr>
          <w:sz w:val="22"/>
        </w:rPr>
        <w:t>Intégrations tierces (Mobile Money, WhatsApp, Facebook, SMS, SMTP).</w:t>
      </w:r>
    </w:p>
    <w:p>
      <w:pPr>
        <w:pStyle w:val="ListBullet"/>
        <w:spacing w:after="60"/>
        <w:ind w:left="340"/>
      </w:pPr>
      <w:r/>
      <w:r>
        <w:rPr>
          <w:sz w:val="22"/>
        </w:rPr>
        <w:t>Support technique de niveau 2 et 3.</w:t>
      </w:r>
    </w:p>
    <w:p>
      <w:pPr>
        <w:spacing w:before="280" w:after="80"/>
      </w:pPr>
      <w:r>
        <w:rPr>
          <w:rFonts w:ascii="Calibri" w:hAnsi="Calibri"/>
          <w:b/>
          <w:color w:val="0A2540"/>
          <w:sz w:val="26"/>
        </w:rPr>
        <w:t>3.3 Pôle Commercial Côte d'Ivoire</w:t>
      </w:r>
    </w:p>
    <w:p>
      <w:pPr>
        <w:spacing w:before="160" w:after="40"/>
      </w:pPr>
      <w:r>
        <w:rPr>
          <w:b/>
          <w:color w:val="B8862E"/>
          <w:sz w:val="22"/>
        </w:rPr>
        <w:t>Périmètre</w:t>
      </w:r>
    </w:p>
    <w:p>
      <w:pPr>
        <w:pStyle w:val="ListBullet"/>
        <w:spacing w:after="60"/>
        <w:ind w:left="340"/>
      </w:pPr>
      <w:r/>
      <w:r>
        <w:rPr>
          <w:sz w:val="22"/>
        </w:rPr>
        <w:t>Prospection, qualification, démonstration et signature des comptes.</w:t>
      </w:r>
    </w:p>
    <w:p>
      <w:pPr>
        <w:pStyle w:val="ListBullet"/>
        <w:spacing w:after="60"/>
        <w:ind w:left="340"/>
      </w:pPr>
      <w:r/>
      <w:r>
        <w:rPr>
          <w:sz w:val="22"/>
        </w:rPr>
        <w:t>Animation des événements commerciaux (Petits Déjeuners, HERALDO Days).</w:t>
      </w:r>
    </w:p>
    <w:p>
      <w:pPr>
        <w:pStyle w:val="ListBullet"/>
        <w:spacing w:after="60"/>
        <w:ind w:left="340"/>
      </w:pPr>
      <w:r/>
      <w:r>
        <w:rPr>
          <w:sz w:val="22"/>
        </w:rPr>
        <w:t>Onboarding et fidélisation des clients (Customer Success).</w:t>
      </w:r>
    </w:p>
    <w:p>
      <w:pPr>
        <w:pStyle w:val="ListBullet"/>
        <w:spacing w:after="60"/>
        <w:ind w:left="340"/>
      </w:pPr>
      <w:r/>
      <w:r>
        <w:rPr>
          <w:sz w:val="22"/>
        </w:rPr>
        <w:t>Relations partenariats commerciaux locaux.</w:t>
      </w:r>
    </w:p>
    <w:p>
      <w:pPr>
        <w:pStyle w:val="ListBullet"/>
        <w:spacing w:after="60"/>
        <w:ind w:left="340"/>
      </w:pPr>
      <w:r/>
      <w:r>
        <w:rPr>
          <w:sz w:val="22"/>
        </w:rPr>
        <w:t>Modération des accréditations journalistes (validation 48h).</w:t>
      </w:r>
    </w:p>
    <w:p>
      <w:pPr>
        <w:pStyle w:val="ListBullet"/>
        <w:spacing w:after="60"/>
        <w:ind w:left="340"/>
      </w:pPr>
      <w:r/>
      <w:r>
        <w:rPr>
          <w:sz w:val="22"/>
        </w:rPr>
        <w:t>Gestion des litiges FCM (arbitrage 24h).</w:t>
      </w:r>
    </w:p>
    <w:p>
      <w:pPr>
        <w:spacing w:before="280" w:after="80"/>
      </w:pPr>
      <w:r>
        <w:rPr>
          <w:rFonts w:ascii="Calibri" w:hAnsi="Calibri"/>
          <w:b/>
          <w:color w:val="0A2540"/>
          <w:sz w:val="26"/>
        </w:rPr>
        <w:t>3.4 Pôle Expansion UEMOA (à partir de M15)</w:t>
      </w:r>
    </w:p>
    <w:p>
      <w:pPr>
        <w:spacing w:before="160" w:after="40"/>
      </w:pPr>
      <w:r>
        <w:rPr>
          <w:b/>
          <w:color w:val="B8862E"/>
          <w:sz w:val="22"/>
        </w:rPr>
        <w:t>Périmètre</w:t>
      </w:r>
    </w:p>
    <w:p>
      <w:pPr>
        <w:pStyle w:val="ListBullet"/>
        <w:spacing w:after="60"/>
        <w:ind w:left="340"/>
      </w:pPr>
      <w:r/>
      <w:r>
        <w:rPr>
          <w:sz w:val="22"/>
        </w:rPr>
        <w:t>Pilotage de l'activité Sénégal en autonomie complète.</w:t>
      </w:r>
    </w:p>
    <w:p>
      <w:pPr>
        <w:pStyle w:val="ListBullet"/>
        <w:spacing w:after="60"/>
        <w:ind w:left="340"/>
      </w:pPr>
      <w:r/>
      <w:r>
        <w:rPr>
          <w:sz w:val="22"/>
        </w:rPr>
        <w:t>Préparation et déploiement Burkina Faso et Mali à partir de M18.</w:t>
      </w:r>
    </w:p>
    <w:p>
      <w:pPr>
        <w:pStyle w:val="ListBullet"/>
        <w:spacing w:after="60"/>
        <w:ind w:left="340"/>
      </w:pPr>
      <w:r/>
      <w:r>
        <w:rPr>
          <w:sz w:val="22"/>
        </w:rPr>
        <w:t>Adaptation réglementaire pays par pays.</w:t>
      </w:r>
    </w:p>
    <w:p>
      <w:pPr>
        <w:pStyle w:val="ListBullet"/>
        <w:spacing w:after="60"/>
        <w:ind w:left="340"/>
      </w:pPr>
      <w:r/>
      <w:r>
        <w:rPr>
          <w:sz w:val="22"/>
        </w:rPr>
        <w:t>Reporting consolidé au siège Abidjan.</w:t>
      </w:r>
    </w:p>
    <w:p>
      <w:pPr>
        <w:spacing w:before="360" w:after="40"/>
        <w:pBdr>
          <w:bottom w:val="single" w:sz="12" w:color="B8862E"/>
        </w:pBdr>
      </w:pPr>
      <w:r>
        <w:rPr>
          <w:rFonts w:ascii="Georgia" w:hAnsi="Georgia"/>
          <w:b/>
          <w:color w:val="0A2540"/>
          <w:sz w:val="36"/>
        </w:rPr>
        <w:t>4. GOUVERNANCE ET INSTANCES</w:t>
      </w:r>
    </w:p>
    <w:p>
      <w:pPr>
        <w:spacing w:after="120"/>
      </w:pPr>
    </w:p>
    <w:p>
      <w:pPr>
        <w:spacing w:before="280" w:after="80"/>
      </w:pPr>
      <w:r>
        <w:rPr>
          <w:rFonts w:ascii="Calibri" w:hAnsi="Calibri"/>
          <w:b/>
          <w:color w:val="0A2540"/>
          <w:sz w:val="26"/>
        </w:rPr>
        <w:t>4.1 Comité de Direction (CODIR) — hebdomadaire</w:t>
      </w:r>
    </w:p>
    <w:p>
      <w:pPr>
        <w:spacing w:after="120" w:line="300" w:lineRule="auto"/>
        <w:jc w:val="left"/>
      </w:pPr>
      <w:r>
        <w:rPr>
          <w:b w:val="0"/>
          <w:i w:val="0"/>
          <w:sz w:val="22"/>
        </w:rPr>
        <w:t>Composition : DG + CTO + Responsable Commercial. Durée : 1h30. Objet : pilotage opérationnel, arbitrages courants, suivi des KPIs.</w:t>
      </w:r>
    </w:p>
    <w:p>
      <w:pPr>
        <w:spacing w:before="280" w:after="80"/>
      </w:pPr>
      <w:r>
        <w:rPr>
          <w:rFonts w:ascii="Calibri" w:hAnsi="Calibri"/>
          <w:b/>
          <w:color w:val="0A2540"/>
          <w:sz w:val="26"/>
        </w:rPr>
        <w:t>4.2 Conseil Stratégique — trimestriel</w:t>
      </w:r>
    </w:p>
    <w:p>
      <w:pPr>
        <w:spacing w:after="120" w:line="300" w:lineRule="auto"/>
        <w:jc w:val="left"/>
      </w:pPr>
      <w:r>
        <w:rPr>
          <w:b w:val="0"/>
          <w:i w:val="0"/>
          <w:sz w:val="22"/>
        </w:rPr>
        <w:t>Composition : DG + CTO + Responsable Commercial + Country Manager Sénégal (à partir de M15) + 2 administrateurs externes (figure du secteur médias + entrepreneur tech). Objet : décisions stratégiques, validation budgets, arbitrages produit majeurs, expansion géographique.</w:t>
      </w:r>
    </w:p>
    <w:p>
      <w:pPr>
        <w:spacing w:before="280" w:after="80"/>
      </w:pPr>
      <w:r>
        <w:rPr>
          <w:rFonts w:ascii="Calibri" w:hAnsi="Calibri"/>
          <w:b/>
          <w:color w:val="0A2540"/>
          <w:sz w:val="26"/>
        </w:rPr>
        <w:t>4.3 Comité Éditorial Paritaire HERALDO – Association</w:t>
      </w:r>
    </w:p>
    <w:p>
      <w:pPr>
        <w:spacing w:after="120" w:line="300" w:lineRule="auto"/>
        <w:jc w:val="left"/>
      </w:pPr>
      <w:r>
        <w:rPr>
          <w:b w:val="0"/>
          <w:i w:val="0"/>
          <w:sz w:val="22"/>
        </w:rPr>
        <w:t>Composition : 2 représentants HERALDO + 2 représentants Association. Objet : règles éditoriales de la plateforme, traitement des cas litigieux (publireportage versus information), évolution de la charte d'usage.</w:t>
      </w:r>
    </w:p>
    <w:p>
      <w:pPr>
        <w:spacing w:before="280" w:after="80"/>
      </w:pPr>
      <w:r>
        <w:rPr>
          <w:rFonts w:ascii="Calibri" w:hAnsi="Calibri"/>
          <w:b/>
          <w:color w:val="0A2540"/>
          <w:sz w:val="26"/>
        </w:rPr>
        <w:t>4.4 Assemblée des associés</w:t>
      </w:r>
    </w:p>
    <w:p>
      <w:pPr>
        <w:spacing w:after="120" w:line="300" w:lineRule="auto"/>
        <w:jc w:val="left"/>
      </w:pPr>
      <w:r>
        <w:rPr>
          <w:b w:val="0"/>
          <w:i w:val="0"/>
          <w:sz w:val="22"/>
        </w:rPr>
        <w:t>Annuelle obligatoire (approbation comptes + affectation résultat) + assemblées extraordinaires si besoin (modification statuts, augmentation de capital, agréments cessions).</w:t>
      </w:r>
    </w:p>
    <w:p>
      <w:r>
        <w:br w:type="page"/>
      </w:r>
    </w:p>
    <w:p>
      <w:pPr>
        <w:spacing w:before="360" w:after="40"/>
        <w:pBdr>
          <w:bottom w:val="single" w:sz="12" w:color="B8862E"/>
        </w:pBdr>
      </w:pPr>
      <w:r>
        <w:rPr>
          <w:rFonts w:ascii="Georgia" w:hAnsi="Georgia"/>
          <w:b/>
          <w:color w:val="0A2540"/>
          <w:sz w:val="36"/>
        </w:rPr>
        <w:t>5. BUDGET DE FONCTIONNEMENT DÉTAILLÉ</w:t>
      </w:r>
    </w:p>
    <w:p>
      <w:pPr>
        <w:spacing w:after="120"/>
      </w:pPr>
    </w:p>
    <w:p>
      <w:pPr>
        <w:spacing w:before="280" w:after="80"/>
      </w:pPr>
      <w:r>
        <w:rPr>
          <w:rFonts w:ascii="Calibri" w:hAnsi="Calibri"/>
          <w:b/>
          <w:color w:val="0A2540"/>
          <w:sz w:val="26"/>
        </w:rPr>
        <w:t>5.1 Budget An 1 — Détail mensuel et annuel</w:t>
      </w:r>
    </w:p>
    <w:tbl>
      <w:tblPr>
        <w:tblW w:type="auto" w:w="0"/>
        <w:jc w:val="center"/>
        <w:tblLook w:firstColumn="1" w:firstRow="1" w:lastColumn="0" w:lastRow="0" w:noHBand="0" w:noVBand="1" w:val="04A0"/>
      </w:tblPr>
      <w:tblGrid>
        <w:gridCol w:w="2436"/>
        <w:gridCol w:w="2436"/>
        <w:gridCol w:w="2436"/>
        <w:gridCol w:w="2436"/>
      </w:tblGrid>
      <w:tr>
        <w:tc>
          <w:tcPr>
            <w:tcW w:type="dxa" w:w="3402"/>
            <w:shd w:val="clear" w:color="auto" w:fill="0A2540"/>
            <w:tcMar>
              <w:top w:w="120" w:type="dxa"/>
              <w:bottom w:w="120" w:type="dxa"/>
              <w:left w:w="140" w:type="dxa"/>
              <w:right w:w="140" w:type="dxa"/>
            </w:tcMar>
            <w:vAlign w:val="center"/>
          </w:tcPr>
          <w:p>
            <w:pPr>
              <w:jc w:val="left"/>
            </w:pPr>
            <w:r/>
            <w:r>
              <w:rPr>
                <w:b/>
                <w:color w:val="FFFFFF"/>
                <w:sz w:val="20"/>
              </w:rPr>
              <w:t>Poste</w:t>
            </w:r>
          </w:p>
        </w:tc>
        <w:tc>
          <w:tcPr>
            <w:tcW w:type="dxa" w:w="1984"/>
            <w:shd w:val="clear" w:color="auto" w:fill="0A2540"/>
            <w:tcMar>
              <w:top w:w="120" w:type="dxa"/>
              <w:bottom w:w="120" w:type="dxa"/>
              <w:left w:w="140" w:type="dxa"/>
              <w:right w:w="140" w:type="dxa"/>
            </w:tcMar>
            <w:vAlign w:val="center"/>
          </w:tcPr>
          <w:p>
            <w:pPr>
              <w:jc w:val="left"/>
            </w:pPr>
            <w:r/>
            <w:r>
              <w:rPr>
                <w:b/>
                <w:color w:val="FFFFFF"/>
                <w:sz w:val="20"/>
              </w:rPr>
              <w:t>Mensuel moyen</w:t>
            </w:r>
          </w:p>
        </w:tc>
        <w:tc>
          <w:tcPr>
            <w:tcW w:type="dxa" w:w="1984"/>
            <w:shd w:val="clear" w:color="auto" w:fill="0A2540"/>
            <w:tcMar>
              <w:top w:w="120" w:type="dxa"/>
              <w:bottom w:w="120" w:type="dxa"/>
              <w:left w:w="140" w:type="dxa"/>
              <w:right w:w="140" w:type="dxa"/>
            </w:tcMar>
            <w:vAlign w:val="center"/>
          </w:tcPr>
          <w:p>
            <w:pPr>
              <w:jc w:val="left"/>
            </w:pPr>
            <w:r/>
            <w:r>
              <w:rPr>
                <w:b/>
                <w:color w:val="FFFFFF"/>
                <w:sz w:val="20"/>
              </w:rPr>
              <w:t>Annuel</w:t>
            </w:r>
          </w:p>
        </w:tc>
        <w:tc>
          <w:tcPr>
            <w:tcW w:type="dxa" w:w="1701"/>
            <w:shd w:val="clear" w:color="auto" w:fill="0A2540"/>
            <w:tcMar>
              <w:top w:w="120" w:type="dxa"/>
              <w:bottom w:w="120" w:type="dxa"/>
              <w:left w:w="140" w:type="dxa"/>
              <w:right w:w="140" w:type="dxa"/>
            </w:tcMar>
            <w:vAlign w:val="center"/>
          </w:tcPr>
          <w:p>
            <w:pPr>
              <w:jc w:val="left"/>
            </w:pPr>
            <w:r/>
            <w:r>
              <w:rPr>
                <w:b/>
                <w:color w:val="FFFFFF"/>
                <w:sz w:val="20"/>
              </w:rPr>
              <w:t>% du total</w:t>
            </w:r>
          </w:p>
        </w:tc>
      </w:tr>
      <w:tr>
        <w:tc>
          <w:tcPr>
            <w:tcW w:type="dxa" w:w="340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Salaires bruts équipe (2 puis 5 ETP)</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350 000 → 750 000 FCFA</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6 000 000 FCFA</w:t>
            </w:r>
          </w:p>
        </w:tc>
        <w:tc>
          <w:tcPr>
            <w:tcW w:type="dxa" w:w="170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26,4%</w:t>
            </w:r>
          </w:p>
        </w:tc>
      </w:tr>
      <w:tr>
        <w:tc>
          <w:tcPr>
            <w:tcW w:type="dxa" w:w="340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Charges patronales (~22%)</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77 000 → 165 000 FCFA</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1 320 000 FCFA</w:t>
            </w:r>
          </w:p>
        </w:tc>
        <w:tc>
          <w:tcPr>
            <w:tcW w:type="dxa" w:w="170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5,8%</w:t>
            </w:r>
          </w:p>
        </w:tc>
      </w:tr>
      <w:tr>
        <w:tc>
          <w:tcPr>
            <w:tcW w:type="dxa" w:w="340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Développement plateforme (prestataires)</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Amortissement</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8 000 000 FCFA</w:t>
            </w:r>
          </w:p>
        </w:tc>
        <w:tc>
          <w:tcPr>
            <w:tcW w:type="dxa" w:w="170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35,1%</w:t>
            </w:r>
          </w:p>
        </w:tc>
      </w:tr>
      <w:tr>
        <w:tc>
          <w:tcPr>
            <w:tcW w:type="dxa" w:w="340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Infrastructure cloud + CDN + WebRTC</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125 000 FCFA</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1 500 000 FCFA</w:t>
            </w:r>
          </w:p>
        </w:tc>
        <w:tc>
          <w:tcPr>
            <w:tcW w:type="dxa" w:w="170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6,6%</w:t>
            </w:r>
          </w:p>
        </w:tc>
      </w:tr>
      <w:tr>
        <w:tc>
          <w:tcPr>
            <w:tcW w:type="dxa" w:w="340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Loyer bureau Abidjan (2 Plateaux ou Cocody)</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300 000 FCFA</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3 600 000 FCFA</w:t>
            </w:r>
          </w:p>
        </w:tc>
        <w:tc>
          <w:tcPr>
            <w:tcW w:type="dxa" w:w="170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w:t>
            </w:r>
          </w:p>
        </w:tc>
      </w:tr>
      <w:tr>
        <w:tc>
          <w:tcPr>
            <w:tcW w:type="dxa" w:w="340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Charges fixes (eau, électricité, internet)</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80 000 FCFA</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960 000 FCFA</w:t>
            </w:r>
          </w:p>
        </w:tc>
        <w:tc>
          <w:tcPr>
            <w:tcW w:type="dxa" w:w="170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w:t>
            </w:r>
          </w:p>
        </w:tc>
      </w:tr>
      <w:tr>
        <w:tc>
          <w:tcPr>
            <w:tcW w:type="dxa" w:w="340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Commercial et déplacements</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165 000 FCFA</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2 000 000 FCFA</w:t>
            </w:r>
          </w:p>
        </w:tc>
        <w:tc>
          <w:tcPr>
            <w:tcW w:type="dxa" w:w="170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8,8%</w:t>
            </w:r>
          </w:p>
        </w:tc>
      </w:tr>
      <w:tr>
        <w:tc>
          <w:tcPr>
            <w:tcW w:type="dxa" w:w="340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Marketing et communication</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125 000 FCFA</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1 500 000 FCFA</w:t>
            </w:r>
          </w:p>
        </w:tc>
        <w:tc>
          <w:tcPr>
            <w:tcW w:type="dxa" w:w="170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6,6%</w:t>
            </w:r>
          </w:p>
        </w:tc>
      </w:tr>
      <w:tr>
        <w:tc>
          <w:tcPr>
            <w:tcW w:type="dxa" w:w="340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Juridique, comptabilité, conformité</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100 000 FCFA</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1 200 000 FCFA</w:t>
            </w:r>
          </w:p>
        </w:tc>
        <w:tc>
          <w:tcPr>
            <w:tcW w:type="dxa" w:w="170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5,3%</w:t>
            </w:r>
          </w:p>
        </w:tc>
      </w:tr>
      <w:tr>
        <w:tc>
          <w:tcPr>
            <w:tcW w:type="dxa" w:w="340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Formation partenaires médias</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42 000 FCFA</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500 000 FCFA</w:t>
            </w:r>
          </w:p>
        </w:tc>
        <w:tc>
          <w:tcPr>
            <w:tcW w:type="dxa" w:w="170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2,2%</w:t>
            </w:r>
          </w:p>
        </w:tc>
      </w:tr>
      <w:tr>
        <w:tc>
          <w:tcPr>
            <w:tcW w:type="dxa" w:w="340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Imprévus (10%)</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172 000 FCFA</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2 070 000 FCFA</w:t>
            </w:r>
          </w:p>
        </w:tc>
        <w:tc>
          <w:tcPr>
            <w:tcW w:type="dxa" w:w="170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9,1%</w:t>
            </w:r>
          </w:p>
        </w:tc>
      </w:tr>
      <w:tr>
        <w:tc>
          <w:tcPr>
            <w:tcW w:type="dxa" w:w="340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TOTAL CHARGES AN 1</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22 770 000 FCFA</w:t>
            </w:r>
          </w:p>
        </w:tc>
        <w:tc>
          <w:tcPr>
            <w:tcW w:type="dxa" w:w="170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100%</w:t>
            </w:r>
          </w:p>
        </w:tc>
      </w:tr>
    </w:tbl>
    <w:p>
      <w:pPr>
        <w:spacing w:after="80"/>
      </w:pPr>
    </w:p>
    <w:tbl>
      <w:tblPr>
        <w:tblW w:type="auto" w:w="0"/>
        <w:tblLook w:firstColumn="1" w:firstRow="1" w:lastColumn="0" w:lastRow="0" w:noHBand="0" w:noVBand="1" w:val="04A0"/>
      </w:tblPr>
      <w:tblGrid>
        <w:gridCol w:w="9746"/>
      </w:tblGrid>
      <w:tr>
        <w:tc>
          <w:tcPr>
            <w:tcW w:type="dxa" w:w="9746"/>
            <w:tcBorders>
              <w:top w:sz="4" w:color="E8ECF0" w:val="single"/>
              <w:left w:sz="36" w:color="B8862E" w:val="single"/>
              <w:bottom w:sz="4" w:color="E8ECF0" w:val="single"/>
              <w:right w:sz="4" w:color="E8ECF0" w:val="single"/>
            </w:tcBorders>
            <w:shd w:val="clear" w:color="auto" w:fill="F7F9FB"/>
            <w:vAlign w:val="center"/>
            <w:tcMar>
              <w:top w:w="120" w:type="dxa"/>
              <w:bottom w:w="120" w:type="dxa"/>
              <w:left w:w="240" w:type="dxa"/>
              <w:right w:w="160" w:type="dxa"/>
            </w:tcMar>
          </w:tcPr>
          <w:p>
            <w:r/>
            <w:r>
              <w:rPr>
                <w:i/>
                <w:color w:val="0A2540"/>
                <w:sz w:val="22"/>
              </w:rPr>
              <w:t>Note : le loyer bureau et les charges fixes (4,56 M FCFA/an) n'apparaissent pas dans le business plan synthétique et sont inclus dans le poste « Équipe » par simplification. Si financement plus large, prévoir une ligne dédiée. À court terme, possibilité de démarrer en coworking (Jokkolabs Abidjan ou Seedstars) à coût réduit (~150 000 FCFA/mois).</w:t>
            </w:r>
          </w:p>
        </w:tc>
      </w:tr>
    </w:tbl>
    <w:p>
      <w:pPr>
        <w:spacing w:after="40"/>
      </w:pPr>
    </w:p>
    <w:p>
      <w:pPr>
        <w:spacing w:before="280" w:after="80"/>
      </w:pPr>
      <w:r>
        <w:rPr>
          <w:rFonts w:ascii="Calibri" w:hAnsi="Calibri"/>
          <w:b/>
          <w:color w:val="0A2540"/>
          <w:sz w:val="26"/>
        </w:rPr>
        <w:t>5.2 Budget An 2 — Synthèse</w:t>
      </w:r>
    </w:p>
    <w:tbl>
      <w:tblPr>
        <w:tblW w:type="auto" w:w="0"/>
        <w:jc w:val="center"/>
        <w:tblLook w:firstColumn="1" w:firstRow="1" w:lastColumn="0" w:lastRow="0" w:noHBand="0" w:noVBand="1" w:val="04A0"/>
      </w:tblPr>
      <w:tblGrid>
        <w:gridCol w:w="3249"/>
        <w:gridCol w:w="3249"/>
        <w:gridCol w:w="3249"/>
      </w:tblGrid>
      <w:tr>
        <w:tc>
          <w:tcPr>
            <w:tcW w:type="dxa" w:w="3402"/>
            <w:shd w:val="clear" w:color="auto" w:fill="0A2540"/>
            <w:tcMar>
              <w:top w:w="120" w:type="dxa"/>
              <w:bottom w:w="120" w:type="dxa"/>
              <w:left w:w="140" w:type="dxa"/>
              <w:right w:w="140" w:type="dxa"/>
            </w:tcMar>
            <w:vAlign w:val="center"/>
          </w:tcPr>
          <w:p>
            <w:pPr>
              <w:jc w:val="left"/>
            </w:pPr>
            <w:r/>
            <w:r>
              <w:rPr>
                <w:b/>
                <w:color w:val="FFFFFF"/>
                <w:sz w:val="20"/>
              </w:rPr>
              <w:t>Poste</w:t>
            </w:r>
          </w:p>
        </w:tc>
        <w:tc>
          <w:tcPr>
            <w:tcW w:type="dxa" w:w="2268"/>
            <w:shd w:val="clear" w:color="auto" w:fill="0A2540"/>
            <w:tcMar>
              <w:top w:w="120" w:type="dxa"/>
              <w:bottom w:w="120" w:type="dxa"/>
              <w:left w:w="140" w:type="dxa"/>
              <w:right w:w="140" w:type="dxa"/>
            </w:tcMar>
            <w:vAlign w:val="center"/>
          </w:tcPr>
          <w:p>
            <w:pPr>
              <w:jc w:val="left"/>
            </w:pPr>
            <w:r/>
            <w:r>
              <w:rPr>
                <w:b/>
                <w:color w:val="FFFFFF"/>
                <w:sz w:val="20"/>
              </w:rPr>
              <w:t>Annuel An 2</w:t>
            </w:r>
          </w:p>
        </w:tc>
        <w:tc>
          <w:tcPr>
            <w:tcW w:type="dxa" w:w="3402"/>
            <w:shd w:val="clear" w:color="auto" w:fill="0A2540"/>
            <w:tcMar>
              <w:top w:w="120" w:type="dxa"/>
              <w:bottom w:w="120" w:type="dxa"/>
              <w:left w:w="140" w:type="dxa"/>
              <w:right w:w="140" w:type="dxa"/>
            </w:tcMar>
            <w:vAlign w:val="center"/>
          </w:tcPr>
          <w:p>
            <w:pPr>
              <w:jc w:val="left"/>
            </w:pPr>
            <w:r/>
            <w:r>
              <w:rPr>
                <w:b/>
                <w:color w:val="FFFFFF"/>
                <w:sz w:val="20"/>
              </w:rPr>
              <w:t>Variation vs An 1</w:t>
            </w:r>
          </w:p>
        </w:tc>
      </w:tr>
      <w:tr>
        <w:tc>
          <w:tcPr>
            <w:tcW w:type="dxa" w:w="340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Développement plateforme (évolutions)</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4 000 000 FCFA</w:t>
            </w:r>
          </w:p>
        </w:tc>
        <w:tc>
          <w:tcPr>
            <w:tcW w:type="dxa" w:w="340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-50%</w:t>
            </w:r>
          </w:p>
        </w:tc>
      </w:tr>
      <w:tr>
        <w:tc>
          <w:tcPr>
            <w:tcW w:type="dxa" w:w="340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Infrastructure technique</w:t>
            </w:r>
          </w:p>
        </w:tc>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2 500 000 FCFA</w:t>
            </w:r>
          </w:p>
        </w:tc>
        <w:tc>
          <w:tcPr>
            <w:tcW w:type="dxa" w:w="340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+67%</w:t>
            </w:r>
          </w:p>
        </w:tc>
      </w:tr>
      <w:tr>
        <w:tc>
          <w:tcPr>
            <w:tcW w:type="dxa" w:w="340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Équipe (5 → 7 ETP)</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12 000 000 FCFA</w:t>
            </w:r>
          </w:p>
        </w:tc>
        <w:tc>
          <w:tcPr>
            <w:tcW w:type="dxa" w:w="340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+100%</w:t>
            </w:r>
          </w:p>
        </w:tc>
      </w:tr>
      <w:tr>
        <w:tc>
          <w:tcPr>
            <w:tcW w:type="dxa" w:w="340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Commercial et partenariats</w:t>
            </w:r>
          </w:p>
        </w:tc>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3 000 000 FCFA</w:t>
            </w:r>
          </w:p>
        </w:tc>
        <w:tc>
          <w:tcPr>
            <w:tcW w:type="dxa" w:w="340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+50%</w:t>
            </w:r>
          </w:p>
        </w:tc>
      </w:tr>
      <w:tr>
        <w:tc>
          <w:tcPr>
            <w:tcW w:type="dxa" w:w="340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Marketing et communication</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2 500 000 FCFA</w:t>
            </w:r>
          </w:p>
        </w:tc>
        <w:tc>
          <w:tcPr>
            <w:tcW w:type="dxa" w:w="340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+67%</w:t>
            </w:r>
          </w:p>
        </w:tc>
      </w:tr>
      <w:tr>
        <w:tc>
          <w:tcPr>
            <w:tcW w:type="dxa" w:w="340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Juridique et conformité (UEMOA)</w:t>
            </w:r>
          </w:p>
        </w:tc>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800 000 FCFA</w:t>
            </w:r>
          </w:p>
        </w:tc>
        <w:tc>
          <w:tcPr>
            <w:tcW w:type="dxa" w:w="340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-33%</w:t>
            </w:r>
          </w:p>
        </w:tc>
      </w:tr>
      <w:tr>
        <w:tc>
          <w:tcPr>
            <w:tcW w:type="dxa" w:w="340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Formation partenaires médias</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500 000 FCFA</w:t>
            </w:r>
          </w:p>
        </w:tc>
        <w:tc>
          <w:tcPr>
            <w:tcW w:type="dxa" w:w="340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w:t>
            </w:r>
          </w:p>
        </w:tc>
      </w:tr>
      <w:tr>
        <w:tc>
          <w:tcPr>
            <w:tcW w:type="dxa" w:w="340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Imprévus (10%)</w:t>
            </w:r>
          </w:p>
        </w:tc>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2 530 000 FCFA</w:t>
            </w:r>
          </w:p>
        </w:tc>
        <w:tc>
          <w:tcPr>
            <w:tcW w:type="dxa" w:w="340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+22%</w:t>
            </w:r>
          </w:p>
        </w:tc>
      </w:tr>
      <w:tr>
        <w:tc>
          <w:tcPr>
            <w:tcW w:type="dxa" w:w="340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TOTAL CHARGES AN 2</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27 830 000 FCFA</w:t>
            </w:r>
          </w:p>
        </w:tc>
        <w:tc>
          <w:tcPr>
            <w:tcW w:type="dxa" w:w="340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+22%</w:t>
            </w:r>
          </w:p>
        </w:tc>
      </w:tr>
    </w:tbl>
    <w:p>
      <w:pPr>
        <w:spacing w:after="80"/>
      </w:pPr>
    </w:p>
    <w:p>
      <w:pPr>
        <w:spacing w:before="280" w:after="80"/>
      </w:pPr>
      <w:r>
        <w:rPr>
          <w:rFonts w:ascii="Calibri" w:hAnsi="Calibri"/>
          <w:b/>
          <w:color w:val="0A2540"/>
          <w:sz w:val="26"/>
        </w:rPr>
        <w:t>5.3 Budget An 3 — Synthèse</w:t>
      </w:r>
    </w:p>
    <w:tbl>
      <w:tblPr>
        <w:tblW w:type="auto" w:w="0"/>
        <w:jc w:val="center"/>
        <w:tblLook w:firstColumn="1" w:firstRow="1" w:lastColumn="0" w:lastRow="0" w:noHBand="0" w:noVBand="1" w:val="04A0"/>
      </w:tblPr>
      <w:tblGrid>
        <w:gridCol w:w="3249"/>
        <w:gridCol w:w="3249"/>
        <w:gridCol w:w="3249"/>
      </w:tblGrid>
      <w:tr>
        <w:tc>
          <w:tcPr>
            <w:tcW w:type="dxa" w:w="3402"/>
            <w:shd w:val="clear" w:color="auto" w:fill="0A2540"/>
            <w:tcMar>
              <w:top w:w="120" w:type="dxa"/>
              <w:bottom w:w="120" w:type="dxa"/>
              <w:left w:w="140" w:type="dxa"/>
              <w:right w:w="140" w:type="dxa"/>
            </w:tcMar>
            <w:vAlign w:val="center"/>
          </w:tcPr>
          <w:p>
            <w:pPr>
              <w:jc w:val="left"/>
            </w:pPr>
            <w:r/>
            <w:r>
              <w:rPr>
                <w:b/>
                <w:color w:val="FFFFFF"/>
                <w:sz w:val="20"/>
              </w:rPr>
              <w:t>Poste</w:t>
            </w:r>
          </w:p>
        </w:tc>
        <w:tc>
          <w:tcPr>
            <w:tcW w:type="dxa" w:w="2268"/>
            <w:shd w:val="clear" w:color="auto" w:fill="0A2540"/>
            <w:tcMar>
              <w:top w:w="120" w:type="dxa"/>
              <w:bottom w:w="120" w:type="dxa"/>
              <w:left w:w="140" w:type="dxa"/>
              <w:right w:w="140" w:type="dxa"/>
            </w:tcMar>
            <w:vAlign w:val="center"/>
          </w:tcPr>
          <w:p>
            <w:pPr>
              <w:jc w:val="left"/>
            </w:pPr>
            <w:r/>
            <w:r>
              <w:rPr>
                <w:b/>
                <w:color w:val="FFFFFF"/>
                <w:sz w:val="20"/>
              </w:rPr>
              <w:t>Annuel An 3</w:t>
            </w:r>
          </w:p>
        </w:tc>
        <w:tc>
          <w:tcPr>
            <w:tcW w:type="dxa" w:w="3402"/>
            <w:shd w:val="clear" w:color="auto" w:fill="0A2540"/>
            <w:tcMar>
              <w:top w:w="120" w:type="dxa"/>
              <w:bottom w:w="120" w:type="dxa"/>
              <w:left w:w="140" w:type="dxa"/>
              <w:right w:w="140" w:type="dxa"/>
            </w:tcMar>
            <w:vAlign w:val="center"/>
          </w:tcPr>
          <w:p>
            <w:pPr>
              <w:jc w:val="left"/>
            </w:pPr>
            <w:r/>
            <w:r>
              <w:rPr>
                <w:b/>
                <w:color w:val="FFFFFF"/>
                <w:sz w:val="20"/>
              </w:rPr>
              <w:t>Variation vs An 2</w:t>
            </w:r>
          </w:p>
        </w:tc>
      </w:tr>
      <w:tr>
        <w:tc>
          <w:tcPr>
            <w:tcW w:type="dxa" w:w="340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Développement plateforme</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4 000 000 FCFA</w:t>
            </w:r>
          </w:p>
        </w:tc>
        <w:tc>
          <w:tcPr>
            <w:tcW w:type="dxa" w:w="340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w:t>
            </w:r>
          </w:p>
        </w:tc>
      </w:tr>
      <w:tr>
        <w:tc>
          <w:tcPr>
            <w:tcW w:type="dxa" w:w="340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Infrastructure technique</w:t>
            </w:r>
          </w:p>
        </w:tc>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4 000 000 FCFA</w:t>
            </w:r>
          </w:p>
        </w:tc>
        <w:tc>
          <w:tcPr>
            <w:tcW w:type="dxa" w:w="340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+60%</w:t>
            </w:r>
          </w:p>
        </w:tc>
      </w:tr>
      <w:tr>
        <w:tc>
          <w:tcPr>
            <w:tcW w:type="dxa" w:w="340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Équipe (7 → 8 ETP)</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18 000 000 FCFA</w:t>
            </w:r>
          </w:p>
        </w:tc>
        <w:tc>
          <w:tcPr>
            <w:tcW w:type="dxa" w:w="340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+50%</w:t>
            </w:r>
          </w:p>
        </w:tc>
      </w:tr>
      <w:tr>
        <w:tc>
          <w:tcPr>
            <w:tcW w:type="dxa" w:w="340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Commercial et partenariats</w:t>
            </w:r>
          </w:p>
        </w:tc>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5 000 000 FCFA</w:t>
            </w:r>
          </w:p>
        </w:tc>
        <w:tc>
          <w:tcPr>
            <w:tcW w:type="dxa" w:w="340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+67%</w:t>
            </w:r>
          </w:p>
        </w:tc>
      </w:tr>
      <w:tr>
        <w:tc>
          <w:tcPr>
            <w:tcW w:type="dxa" w:w="340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Marketing et communication</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4 000 000 FCFA</w:t>
            </w:r>
          </w:p>
        </w:tc>
        <w:tc>
          <w:tcPr>
            <w:tcW w:type="dxa" w:w="340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+60%</w:t>
            </w:r>
          </w:p>
        </w:tc>
      </w:tr>
      <w:tr>
        <w:tc>
          <w:tcPr>
            <w:tcW w:type="dxa" w:w="340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Juridique et conformité</w:t>
            </w:r>
          </w:p>
        </w:tc>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800 000 FCFA</w:t>
            </w:r>
          </w:p>
        </w:tc>
        <w:tc>
          <w:tcPr>
            <w:tcW w:type="dxa" w:w="340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w:t>
            </w:r>
          </w:p>
        </w:tc>
      </w:tr>
      <w:tr>
        <w:tc>
          <w:tcPr>
            <w:tcW w:type="dxa" w:w="340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Formation partenaires médias</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500 000 FCFA</w:t>
            </w:r>
          </w:p>
        </w:tc>
        <w:tc>
          <w:tcPr>
            <w:tcW w:type="dxa" w:w="340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w:t>
            </w:r>
          </w:p>
        </w:tc>
      </w:tr>
      <w:tr>
        <w:tc>
          <w:tcPr>
            <w:tcW w:type="dxa" w:w="340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Imprévus (10%)</w:t>
            </w:r>
          </w:p>
        </w:tc>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3 630 000 FCFA</w:t>
            </w:r>
          </w:p>
        </w:tc>
        <w:tc>
          <w:tcPr>
            <w:tcW w:type="dxa" w:w="340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+43%</w:t>
            </w:r>
          </w:p>
        </w:tc>
      </w:tr>
      <w:tr>
        <w:tc>
          <w:tcPr>
            <w:tcW w:type="dxa" w:w="340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TOTAL CHARGES AN 3</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39 930 000 FCFA</w:t>
            </w:r>
          </w:p>
        </w:tc>
        <w:tc>
          <w:tcPr>
            <w:tcW w:type="dxa" w:w="340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+43%</w:t>
            </w:r>
          </w:p>
        </w:tc>
      </w:tr>
    </w:tbl>
    <w:p>
      <w:pPr>
        <w:spacing w:after="80"/>
      </w:pPr>
    </w:p>
    <w:p>
      <w:r>
        <w:br w:type="page"/>
      </w:r>
    </w:p>
    <w:p>
      <w:pPr>
        <w:spacing w:before="360" w:after="40"/>
        <w:pBdr>
          <w:bottom w:val="single" w:sz="12" w:color="B8862E"/>
        </w:pBdr>
      </w:pPr>
      <w:r>
        <w:rPr>
          <w:rFonts w:ascii="Georgia" w:hAnsi="Georgia"/>
          <w:b/>
          <w:color w:val="0A2540"/>
          <w:sz w:val="36"/>
        </w:rPr>
        <w:t>6. INVESTISSEMENT INITIAL ET PLAN DE FINANCEMENT</w:t>
      </w:r>
    </w:p>
    <w:p>
      <w:pPr>
        <w:spacing w:after="120"/>
      </w:pPr>
    </w:p>
    <w:p>
      <w:pPr>
        <w:spacing w:before="280" w:after="80"/>
      </w:pPr>
      <w:r>
        <w:rPr>
          <w:rFonts w:ascii="Calibri" w:hAnsi="Calibri"/>
          <w:b/>
          <w:color w:val="0A2540"/>
          <w:sz w:val="26"/>
        </w:rPr>
        <w:t>6.1 Besoin de financement initial</w:t>
      </w:r>
    </w:p>
    <w:tbl>
      <w:tblPr>
        <w:tblW w:type="auto" w:w="0"/>
        <w:jc w:val="center"/>
        <w:tblLook w:firstColumn="1" w:firstRow="1" w:lastColumn="0" w:lastRow="0" w:noHBand="0" w:noVBand="1" w:val="04A0"/>
      </w:tblPr>
      <w:tblGrid>
        <w:gridCol w:w="3249"/>
        <w:gridCol w:w="3249"/>
        <w:gridCol w:w="3249"/>
      </w:tblGrid>
      <w:tr>
        <w:tc>
          <w:tcPr>
            <w:tcW w:type="dxa" w:w="3118"/>
            <w:shd w:val="clear" w:color="auto" w:fill="0A2540"/>
            <w:tcMar>
              <w:top w:w="120" w:type="dxa"/>
              <w:bottom w:w="120" w:type="dxa"/>
              <w:left w:w="140" w:type="dxa"/>
              <w:right w:w="140" w:type="dxa"/>
            </w:tcMar>
            <w:vAlign w:val="center"/>
          </w:tcPr>
          <w:p>
            <w:pPr>
              <w:jc w:val="left"/>
            </w:pPr>
            <w:r/>
            <w:r>
              <w:rPr>
                <w:b/>
                <w:color w:val="FFFFFF"/>
                <w:sz w:val="20"/>
              </w:rPr>
              <w:t>Poste d'investissement</w:t>
            </w:r>
          </w:p>
        </w:tc>
        <w:tc>
          <w:tcPr>
            <w:tcW w:type="dxa" w:w="1984"/>
            <w:shd w:val="clear" w:color="auto" w:fill="0A2540"/>
            <w:tcMar>
              <w:top w:w="120" w:type="dxa"/>
              <w:bottom w:w="120" w:type="dxa"/>
              <w:left w:w="140" w:type="dxa"/>
              <w:right w:w="140" w:type="dxa"/>
            </w:tcMar>
            <w:vAlign w:val="center"/>
          </w:tcPr>
          <w:p>
            <w:pPr>
              <w:jc w:val="left"/>
            </w:pPr>
            <w:r/>
            <w:r>
              <w:rPr>
                <w:b/>
                <w:color w:val="FFFFFF"/>
                <w:sz w:val="20"/>
              </w:rPr>
              <w:t>Montant</w:t>
            </w:r>
          </w:p>
        </w:tc>
        <w:tc>
          <w:tcPr>
            <w:tcW w:type="dxa" w:w="3969"/>
            <w:shd w:val="clear" w:color="auto" w:fill="0A2540"/>
            <w:tcMar>
              <w:top w:w="120" w:type="dxa"/>
              <w:bottom w:w="120" w:type="dxa"/>
              <w:left w:w="140" w:type="dxa"/>
              <w:right w:w="140" w:type="dxa"/>
            </w:tcMar>
            <w:vAlign w:val="center"/>
          </w:tcPr>
          <w:p>
            <w:pPr>
              <w:jc w:val="left"/>
            </w:pPr>
            <w:r/>
            <w:r>
              <w:rPr>
                <w:b/>
                <w:color w:val="FFFFFF"/>
                <w:sz w:val="20"/>
              </w:rPr>
              <w:t>Détail</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Développement plateforme MVP</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8 000 000 FCFA</w:t>
            </w:r>
          </w:p>
        </w:tc>
        <w:tc>
          <w:tcPr>
            <w:tcW w:type="dxa" w:w="3969"/>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Web + App Android/iOS/Desktop + Back-office</w:t>
            </w:r>
          </w:p>
        </w:tc>
      </w:tr>
      <w:tr>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Infrastructure technique 12 mois</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1 500 000 FCFA</w:t>
            </w:r>
          </w:p>
        </w:tc>
        <w:tc>
          <w:tcPr>
            <w:tcW w:type="dxa" w:w="3969"/>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Cloud, CDN, WebRTC, SMS, stockage vidéo</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Constitution juridique</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800 000 FCFA</w:t>
            </w:r>
          </w:p>
        </w:tc>
        <w:tc>
          <w:tcPr>
            <w:tcW w:type="dxa" w:w="3969"/>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Notaire, greffe, compte pro, rédaction statuts</w:t>
            </w:r>
          </w:p>
        </w:tc>
      </w:tr>
      <w:tr>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Fonds de roulement 6 mois</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4 500 000 FCFA</w:t>
            </w:r>
          </w:p>
        </w:tc>
        <w:tc>
          <w:tcPr>
            <w:tcW w:type="dxa" w:w="3969"/>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Salaires équipe initiale + charges fixes</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Commercial et partenariats</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2 000 000 FCFA</w:t>
            </w:r>
          </w:p>
        </w:tc>
        <w:tc>
          <w:tcPr>
            <w:tcW w:type="dxa" w:w="3969"/>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Déplacements, événements, démos</w:t>
            </w:r>
          </w:p>
        </w:tc>
      </w:tr>
      <w:tr>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Réserve stratégique (10%)</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1 200 000 FCFA</w:t>
            </w:r>
          </w:p>
        </w:tc>
        <w:tc>
          <w:tcPr>
            <w:tcW w:type="dxa" w:w="3969"/>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Imprévus et opportunités</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TOTAL BESOIN INITIAL</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18 000 000 FCFA</w:t>
            </w:r>
          </w:p>
        </w:tc>
        <w:tc>
          <w:tcPr>
            <w:tcW w:type="dxa" w:w="3969"/>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w:t>
            </w:r>
          </w:p>
        </w:tc>
      </w:tr>
    </w:tbl>
    <w:p>
      <w:pPr>
        <w:spacing w:after="80"/>
      </w:pPr>
    </w:p>
    <w:p>
      <w:pPr>
        <w:spacing w:before="280" w:after="80"/>
      </w:pPr>
      <w:r>
        <w:rPr>
          <w:rFonts w:ascii="Calibri" w:hAnsi="Calibri"/>
          <w:b/>
          <w:color w:val="0A2540"/>
          <w:sz w:val="26"/>
        </w:rPr>
        <w:t>6.2 Plan de financement proposé</w:t>
      </w:r>
    </w:p>
    <w:tbl>
      <w:tblPr>
        <w:tblW w:type="auto" w:w="0"/>
        <w:jc w:val="center"/>
        <w:tblLook w:firstColumn="1" w:firstRow="1" w:lastColumn="0" w:lastRow="0" w:noHBand="0" w:noVBand="1" w:val="04A0"/>
      </w:tblPr>
      <w:tblGrid>
        <w:gridCol w:w="2436"/>
        <w:gridCol w:w="2436"/>
        <w:gridCol w:w="2436"/>
        <w:gridCol w:w="2436"/>
      </w:tblGrid>
      <w:tr>
        <w:tc>
          <w:tcPr>
            <w:tcW w:type="dxa" w:w="3118"/>
            <w:shd w:val="clear" w:color="auto" w:fill="0A2540"/>
            <w:tcMar>
              <w:top w:w="120" w:type="dxa"/>
              <w:bottom w:w="120" w:type="dxa"/>
              <w:left w:w="140" w:type="dxa"/>
              <w:right w:w="140" w:type="dxa"/>
            </w:tcMar>
            <w:vAlign w:val="center"/>
          </w:tcPr>
          <w:p>
            <w:pPr>
              <w:jc w:val="left"/>
            </w:pPr>
            <w:r/>
            <w:r>
              <w:rPr>
                <w:b/>
                <w:color w:val="FFFFFF"/>
                <w:sz w:val="20"/>
              </w:rPr>
              <w:t>Source</w:t>
            </w:r>
          </w:p>
        </w:tc>
        <w:tc>
          <w:tcPr>
            <w:tcW w:type="dxa" w:w="1701"/>
            <w:shd w:val="clear" w:color="auto" w:fill="0A2540"/>
            <w:tcMar>
              <w:top w:w="120" w:type="dxa"/>
              <w:bottom w:w="120" w:type="dxa"/>
              <w:left w:w="140" w:type="dxa"/>
              <w:right w:w="140" w:type="dxa"/>
            </w:tcMar>
            <w:vAlign w:val="center"/>
          </w:tcPr>
          <w:p>
            <w:pPr>
              <w:jc w:val="left"/>
            </w:pPr>
            <w:r/>
            <w:r>
              <w:rPr>
                <w:b/>
                <w:color w:val="FFFFFF"/>
                <w:sz w:val="20"/>
              </w:rPr>
              <w:t>Montant</w:t>
            </w:r>
          </w:p>
        </w:tc>
        <w:tc>
          <w:tcPr>
            <w:tcW w:type="dxa" w:w="850"/>
            <w:shd w:val="clear" w:color="auto" w:fill="0A2540"/>
            <w:tcMar>
              <w:top w:w="120" w:type="dxa"/>
              <w:bottom w:w="120" w:type="dxa"/>
              <w:left w:w="140" w:type="dxa"/>
              <w:right w:w="140" w:type="dxa"/>
            </w:tcMar>
            <w:vAlign w:val="center"/>
          </w:tcPr>
          <w:p>
            <w:pPr>
              <w:jc w:val="left"/>
            </w:pPr>
            <w:r/>
            <w:r>
              <w:rPr>
                <w:b/>
                <w:color w:val="FFFFFF"/>
                <w:sz w:val="20"/>
              </w:rPr>
              <w:t>%</w:t>
            </w:r>
          </w:p>
        </w:tc>
        <w:tc>
          <w:tcPr>
            <w:tcW w:type="dxa" w:w="3402"/>
            <w:shd w:val="clear" w:color="auto" w:fill="0A2540"/>
            <w:tcMar>
              <w:top w:w="120" w:type="dxa"/>
              <w:bottom w:w="120" w:type="dxa"/>
              <w:left w:w="140" w:type="dxa"/>
              <w:right w:w="140" w:type="dxa"/>
            </w:tcMar>
            <w:vAlign w:val="center"/>
          </w:tcPr>
          <w:p>
            <w:pPr>
              <w:jc w:val="left"/>
            </w:pPr>
            <w:r/>
            <w:r>
              <w:rPr>
                <w:b/>
                <w:color w:val="FFFFFF"/>
                <w:sz w:val="20"/>
              </w:rPr>
              <w:t>Conditions</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Apport fondateur et associé technique</w:t>
            </w:r>
          </w:p>
        </w:tc>
        <w:tc>
          <w:tcPr>
            <w:tcW w:type="dxa" w:w="170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5 500 000 FCFA</w:t>
            </w:r>
          </w:p>
        </w:tc>
        <w:tc>
          <w:tcPr>
            <w:tcW w:type="dxa" w:w="850"/>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30,5%</w:t>
            </w:r>
          </w:p>
        </w:tc>
        <w:tc>
          <w:tcPr>
            <w:tcW w:type="dxa" w:w="340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Numéraire + apport en industrie</w:t>
            </w:r>
          </w:p>
        </w:tc>
      </w:tr>
      <w:tr>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Investisseur(s) privé(s) / business angel(s)</w:t>
            </w:r>
          </w:p>
        </w:tc>
        <w:tc>
          <w:tcPr>
            <w:tcW w:type="dxa" w:w="170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8 000 000 FCFA</w:t>
            </w:r>
          </w:p>
        </w:tc>
        <w:tc>
          <w:tcPr>
            <w:tcW w:type="dxa" w:w="850"/>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44,5%</w:t>
            </w:r>
          </w:p>
        </w:tc>
        <w:tc>
          <w:tcPr>
            <w:tcW w:type="dxa" w:w="340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Entrée capital 25%, pacte d'actionnaires</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Subvention ou prêt amorçage (BNI, FAFCI, Tony Elumelu)</w:t>
            </w:r>
          </w:p>
        </w:tc>
        <w:tc>
          <w:tcPr>
            <w:tcW w:type="dxa" w:w="170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4 500 000 FCFA</w:t>
            </w:r>
          </w:p>
        </w:tc>
        <w:tc>
          <w:tcPr>
            <w:tcW w:type="dxa" w:w="850"/>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25,0%</w:t>
            </w:r>
          </w:p>
        </w:tc>
        <w:tc>
          <w:tcPr>
            <w:tcW w:type="dxa" w:w="340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Taux préférentiel ou différé 12-24 mois</w:t>
            </w:r>
          </w:p>
        </w:tc>
      </w:tr>
      <w:tr>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TOTAL FINANCEMENT</w:t>
            </w:r>
          </w:p>
        </w:tc>
        <w:tc>
          <w:tcPr>
            <w:tcW w:type="dxa" w:w="170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18 000 000 FCFA</w:t>
            </w:r>
          </w:p>
        </w:tc>
        <w:tc>
          <w:tcPr>
            <w:tcW w:type="dxa" w:w="850"/>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100%</w:t>
            </w:r>
          </w:p>
        </w:tc>
        <w:tc>
          <w:tcPr>
            <w:tcW w:type="dxa" w:w="340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w:t>
            </w:r>
          </w:p>
        </w:tc>
      </w:tr>
    </w:tbl>
    <w:p>
      <w:pPr>
        <w:spacing w:after="80"/>
      </w:pPr>
    </w:p>
    <w:p>
      <w:pPr>
        <w:spacing w:before="280" w:after="80"/>
      </w:pPr>
      <w:r>
        <w:rPr>
          <w:rFonts w:ascii="Calibri" w:hAnsi="Calibri"/>
          <w:b/>
          <w:color w:val="0A2540"/>
          <w:sz w:val="26"/>
        </w:rPr>
        <w:t>6.3 Pistes de financement à explorer</w:t>
      </w:r>
    </w:p>
    <w:p>
      <w:pPr>
        <w:spacing w:before="160" w:after="40"/>
      </w:pPr>
      <w:r>
        <w:rPr>
          <w:b/>
          <w:color w:val="B8862E"/>
          <w:sz w:val="22"/>
        </w:rPr>
        <w:t>Financements publics et institutionnels</w:t>
      </w:r>
    </w:p>
    <w:p>
      <w:pPr>
        <w:pStyle w:val="ListBullet"/>
        <w:spacing w:after="60"/>
        <w:ind w:left="340"/>
      </w:pPr>
      <w:r/>
      <w:r>
        <w:rPr>
          <w:sz w:val="22"/>
        </w:rPr>
        <w:t>BNI Côte d'Ivoire — programme d'accompagnement startup tech.</w:t>
      </w:r>
    </w:p>
    <w:p>
      <w:pPr>
        <w:pStyle w:val="ListBullet"/>
        <w:spacing w:after="60"/>
        <w:ind w:left="340"/>
      </w:pPr>
      <w:r/>
      <w:r>
        <w:rPr>
          <w:sz w:val="22"/>
        </w:rPr>
        <w:t>FAFCI (Fonds d'Appui aux Femmes de Côte d'Ivoire) — si fondatrice ou cofondatrice.</w:t>
      </w:r>
    </w:p>
    <w:p>
      <w:pPr>
        <w:pStyle w:val="ListBullet"/>
        <w:spacing w:after="60"/>
        <w:ind w:left="340"/>
      </w:pPr>
      <w:r/>
      <w:r>
        <w:rPr>
          <w:sz w:val="22"/>
        </w:rPr>
        <w:t>BAD (Banque Africaine de Développement) — programme YouthADAPT ou Africa Digital Financial Inclusion.</w:t>
      </w:r>
    </w:p>
    <w:p>
      <w:pPr>
        <w:pStyle w:val="ListBullet"/>
        <w:spacing w:after="60"/>
        <w:ind w:left="340"/>
      </w:pPr>
      <w:r/>
      <w:r>
        <w:rPr>
          <w:sz w:val="22"/>
        </w:rPr>
        <w:t>PNUD / UE / GIZ — programmes de transparence et redevabilité dans la gouvernance locale.</w:t>
      </w:r>
    </w:p>
    <w:p>
      <w:pPr>
        <w:pStyle w:val="ListBullet"/>
        <w:spacing w:after="60"/>
        <w:ind w:left="340"/>
      </w:pPr>
      <w:r/>
      <w:r>
        <w:rPr>
          <w:sz w:val="22"/>
        </w:rPr>
        <w:t>Tony Elumelu Foundation — programme TEF Entrepreneurship (5 000 USD non remboursables + accompagnement).</w:t>
      </w:r>
    </w:p>
    <w:p>
      <w:pPr>
        <w:spacing w:before="160" w:after="40"/>
      </w:pPr>
      <w:r>
        <w:rPr>
          <w:b/>
          <w:color w:val="B8862E"/>
          <w:sz w:val="22"/>
        </w:rPr>
        <w:t>Financements privés</w:t>
      </w:r>
    </w:p>
    <w:p>
      <w:pPr>
        <w:pStyle w:val="ListBullet"/>
        <w:spacing w:after="60"/>
        <w:ind w:left="340"/>
      </w:pPr>
      <w:r/>
      <w:r>
        <w:rPr>
          <w:sz w:val="22"/>
        </w:rPr>
        <w:t>Réseaux de business angels CI : ABAN-CI, Investisseurs et Partenaires (I&amp;P).</w:t>
      </w:r>
    </w:p>
    <w:p>
      <w:pPr>
        <w:pStyle w:val="ListBullet"/>
        <w:spacing w:after="60"/>
        <w:ind w:left="340"/>
      </w:pPr>
      <w:r/>
      <w:r>
        <w:rPr>
          <w:sz w:val="22"/>
        </w:rPr>
        <w:t>Fonds régionaux d'amorçage : Comoé Capital, Adiwale Partners, Janngo Capital.</w:t>
      </w:r>
    </w:p>
    <w:p>
      <w:pPr>
        <w:pStyle w:val="ListBullet"/>
        <w:spacing w:after="60"/>
        <w:ind w:left="340"/>
      </w:pPr>
      <w:r/>
      <w:r>
        <w:rPr>
          <w:sz w:val="22"/>
        </w:rPr>
        <w:t>Concours startup régionaux : Seedstars Africa, AfricArena, MEST Africa, Africa Tech Festival.</w:t>
      </w:r>
    </w:p>
    <w:p>
      <w:pPr>
        <w:spacing w:before="160" w:after="40"/>
      </w:pPr>
      <w:r>
        <w:rPr>
          <w:b/>
          <w:color w:val="B8862E"/>
          <w:sz w:val="22"/>
        </w:rPr>
        <w:t>Financements bancaires classiques</w:t>
      </w:r>
    </w:p>
    <w:p>
      <w:pPr>
        <w:pStyle w:val="ListBullet"/>
        <w:spacing w:after="60"/>
        <w:ind w:left="340"/>
      </w:pPr>
      <w:r/>
      <w:r>
        <w:rPr>
          <w:sz w:val="22"/>
        </w:rPr>
        <w:t>BNI, NSIA Banque, Ecobank — produits prêt PME garantis FGPME.</w:t>
      </w:r>
    </w:p>
    <w:p>
      <w:pPr>
        <w:pStyle w:val="ListBullet"/>
        <w:spacing w:after="60"/>
        <w:ind w:left="340"/>
      </w:pPr>
      <w:r/>
      <w:r>
        <w:rPr>
          <w:sz w:val="22"/>
        </w:rPr>
        <w:t>Microcrédit à taux préférentiel via le FIDEN ou des structures de l'État.</w:t>
      </w:r>
    </w:p>
    <w:p>
      <w:r>
        <w:br w:type="page"/>
      </w:r>
    </w:p>
    <w:p>
      <w:pPr>
        <w:spacing w:before="360" w:after="40"/>
        <w:pBdr>
          <w:bottom w:val="single" w:sz="12" w:color="B8862E"/>
        </w:pBdr>
      </w:pPr>
      <w:r>
        <w:rPr>
          <w:rFonts w:ascii="Georgia" w:hAnsi="Georgia"/>
          <w:b/>
          <w:color w:val="0A2540"/>
          <w:sz w:val="36"/>
        </w:rPr>
        <w:t>7. INFRASTRUCTURE ET OUTILS DE FONCTIONNEMENT</w:t>
      </w:r>
    </w:p>
    <w:p>
      <w:pPr>
        <w:spacing w:after="120"/>
      </w:pPr>
    </w:p>
    <w:p>
      <w:pPr>
        <w:spacing w:before="280" w:after="80"/>
      </w:pPr>
      <w:r>
        <w:rPr>
          <w:rFonts w:ascii="Calibri" w:hAnsi="Calibri"/>
          <w:b/>
          <w:color w:val="0A2540"/>
          <w:sz w:val="26"/>
        </w:rPr>
        <w:t>7.1 Locaux</w:t>
      </w:r>
    </w:p>
    <w:p>
      <w:pPr>
        <w:spacing w:after="120" w:line="300" w:lineRule="auto"/>
        <w:jc w:val="left"/>
      </w:pPr>
      <w:r>
        <w:rPr>
          <w:b w:val="0"/>
          <w:i w:val="0"/>
          <w:sz w:val="22"/>
        </w:rPr>
        <w:t>Recommandation : démarrage en coworking professionnel (Jokkolabs Abidjan, Seedstars CI, ou similaire) pendant les 6 premiers mois pour minimiser les coûts fixes (150 000 à 250 000 FCFA/mois pour 3 postes). Bascule vers un bureau dédié à partir de M7-M8 (recommandation : 2 Plateaux Vallon ou Cocody, 60-80 m², 300 000 à 400 000 FCFA/mois) au moment du recrutement du Customer Success Manager.</w:t>
      </w:r>
    </w:p>
    <w:p>
      <w:pPr>
        <w:spacing w:before="280" w:after="80"/>
      </w:pPr>
      <w:r>
        <w:rPr>
          <w:rFonts w:ascii="Calibri" w:hAnsi="Calibri"/>
          <w:b/>
          <w:color w:val="0A2540"/>
          <w:sz w:val="26"/>
        </w:rPr>
        <w:t>7.2 Outils de gestion</w:t>
      </w:r>
    </w:p>
    <w:tbl>
      <w:tblPr>
        <w:tblW w:type="auto" w:w="0"/>
        <w:jc w:val="center"/>
        <w:tblLook w:firstColumn="1" w:firstRow="1" w:lastColumn="0" w:lastRow="0" w:noHBand="0" w:noVBand="1" w:val="04A0"/>
      </w:tblPr>
      <w:tblGrid>
        <w:gridCol w:w="3249"/>
        <w:gridCol w:w="3249"/>
        <w:gridCol w:w="3249"/>
      </w:tblGrid>
      <w:tr>
        <w:tc>
          <w:tcPr>
            <w:tcW w:type="dxa" w:w="2268"/>
            <w:shd w:val="clear" w:color="auto" w:fill="0A2540"/>
            <w:tcMar>
              <w:top w:w="120" w:type="dxa"/>
              <w:bottom w:w="120" w:type="dxa"/>
              <w:left w:w="140" w:type="dxa"/>
              <w:right w:w="140" w:type="dxa"/>
            </w:tcMar>
            <w:vAlign w:val="center"/>
          </w:tcPr>
          <w:p>
            <w:pPr>
              <w:jc w:val="left"/>
            </w:pPr>
            <w:r/>
            <w:r>
              <w:rPr>
                <w:b/>
                <w:color w:val="FFFFFF"/>
                <w:sz w:val="20"/>
              </w:rPr>
              <w:t>Catégorie</w:t>
            </w:r>
          </w:p>
        </w:tc>
        <w:tc>
          <w:tcPr>
            <w:tcW w:type="dxa" w:w="3685"/>
            <w:shd w:val="clear" w:color="auto" w:fill="0A2540"/>
            <w:tcMar>
              <w:top w:w="120" w:type="dxa"/>
              <w:bottom w:w="120" w:type="dxa"/>
              <w:left w:w="140" w:type="dxa"/>
              <w:right w:w="140" w:type="dxa"/>
            </w:tcMar>
            <w:vAlign w:val="center"/>
          </w:tcPr>
          <w:p>
            <w:pPr>
              <w:jc w:val="left"/>
            </w:pPr>
            <w:r/>
            <w:r>
              <w:rPr>
                <w:b/>
                <w:color w:val="FFFFFF"/>
                <w:sz w:val="20"/>
              </w:rPr>
              <w:t>Outil recommandé</w:t>
            </w:r>
          </w:p>
        </w:tc>
        <w:tc>
          <w:tcPr>
            <w:tcW w:type="dxa" w:w="3118"/>
            <w:shd w:val="clear" w:color="auto" w:fill="0A2540"/>
            <w:tcMar>
              <w:top w:w="120" w:type="dxa"/>
              <w:bottom w:w="120" w:type="dxa"/>
              <w:left w:w="140" w:type="dxa"/>
              <w:right w:w="140" w:type="dxa"/>
            </w:tcMar>
            <w:vAlign w:val="center"/>
          </w:tcPr>
          <w:p>
            <w:pPr>
              <w:jc w:val="left"/>
            </w:pPr>
            <w:r/>
            <w:r>
              <w:rPr>
                <w:b/>
                <w:color w:val="FFFFFF"/>
                <w:sz w:val="20"/>
              </w:rPr>
              <w:t>Coût annuel estimé</w:t>
            </w:r>
          </w:p>
        </w:tc>
      </w:tr>
      <w:tr>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CRM commercial</w:t>
            </w:r>
          </w:p>
        </w:tc>
        <w:tc>
          <w:tcPr>
            <w:tcW w:type="dxa" w:w="368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HubSpot Starter ou Pipedrive Essential</w:t>
            </w:r>
          </w:p>
        </w:tc>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600 000 FCFA</w:t>
            </w:r>
          </w:p>
        </w:tc>
      </w:tr>
      <w:tr>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Comptabilité</w:t>
            </w:r>
          </w:p>
        </w:tc>
        <w:tc>
          <w:tcPr>
            <w:tcW w:type="dxa" w:w="368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Sage Cloud ou logiciel d'expert-comptable</w:t>
            </w:r>
          </w:p>
        </w:tc>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Inclus expert-comptable</w:t>
            </w:r>
          </w:p>
        </w:tc>
      </w:tr>
      <w:tr>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Expert-comptable externe</w:t>
            </w:r>
          </w:p>
        </w:tc>
        <w:tc>
          <w:tcPr>
            <w:tcW w:type="dxa" w:w="368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Cabinet local CI</w:t>
            </w:r>
          </w:p>
        </w:tc>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1 200 000 FCFA</w:t>
            </w:r>
          </w:p>
        </w:tc>
      </w:tr>
      <w:tr>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Conseil juridique externe</w:t>
            </w:r>
          </w:p>
        </w:tc>
        <w:tc>
          <w:tcPr>
            <w:tcW w:type="dxa" w:w="368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Cabinet d'avocats CI (forfait mensuel)</w:t>
            </w:r>
          </w:p>
        </w:tc>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600 000 FCFA</w:t>
            </w:r>
          </w:p>
        </w:tc>
      </w:tr>
      <w:tr>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Suite collaborative</w:t>
            </w:r>
          </w:p>
        </w:tc>
        <w:tc>
          <w:tcPr>
            <w:tcW w:type="dxa" w:w="368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Google Workspace Business Standard</w:t>
            </w:r>
          </w:p>
        </w:tc>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180 000 FCFA</w:t>
            </w:r>
          </w:p>
        </w:tc>
      </w:tr>
      <w:tr>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Visioconférence (interne)</w:t>
            </w:r>
          </w:p>
        </w:tc>
        <w:tc>
          <w:tcPr>
            <w:tcW w:type="dxa" w:w="368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Zoom Pro (3 licences)</w:t>
            </w:r>
          </w:p>
        </w:tc>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240 000 FCFA</w:t>
            </w:r>
          </w:p>
        </w:tc>
      </w:tr>
      <w:tr>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Gestion projet</w:t>
            </w:r>
          </w:p>
        </w:tc>
        <w:tc>
          <w:tcPr>
            <w:tcW w:type="dxa" w:w="368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Notion Team ou Linear</w:t>
            </w:r>
          </w:p>
        </w:tc>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180 000 FCFA</w:t>
            </w:r>
          </w:p>
        </w:tc>
      </w:tr>
      <w:tr>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Communication interne</w:t>
            </w:r>
          </w:p>
        </w:tc>
        <w:tc>
          <w:tcPr>
            <w:tcW w:type="dxa" w:w="368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Slack Pro (5 licences)</w:t>
            </w:r>
          </w:p>
        </w:tc>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240 000 FCFA</w:t>
            </w:r>
          </w:p>
        </w:tc>
      </w:tr>
      <w:tr>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Stockage et sauvegarde</w:t>
            </w:r>
          </w:p>
        </w:tc>
        <w:tc>
          <w:tcPr>
            <w:tcW w:type="dxa" w:w="368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Google Drive Business + backup AWS S3</w:t>
            </w:r>
          </w:p>
        </w:tc>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Inclus / 60 000 FCFA</w:t>
            </w:r>
          </w:p>
        </w:tc>
      </w:tr>
      <w:tr>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Signature électronique</w:t>
            </w:r>
          </w:p>
        </w:tc>
        <w:tc>
          <w:tcPr>
            <w:tcW w:type="dxa" w:w="368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DocuSign ou Yousign Essentials</w:t>
            </w:r>
          </w:p>
        </w:tc>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300 000 FCFA</w:t>
            </w:r>
          </w:p>
        </w:tc>
      </w:tr>
      <w:tr>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Site web et hébergement</w:t>
            </w:r>
          </w:p>
        </w:tc>
        <w:tc>
          <w:tcPr>
            <w:tcW w:type="dxa" w:w="368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Vercel Pro + nom de domaine</w:t>
            </w:r>
          </w:p>
        </w:tc>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240 000 FCFA</w:t>
            </w:r>
          </w:p>
        </w:tc>
      </w:tr>
      <w:tr>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TOTAL OUTILS</w:t>
            </w:r>
          </w:p>
        </w:tc>
        <w:tc>
          <w:tcPr>
            <w:tcW w:type="dxa" w:w="368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w:t>
            </w:r>
          </w:p>
        </w:tc>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~3 840 000 FCFA/an</w:t>
            </w:r>
          </w:p>
        </w:tc>
      </w:tr>
    </w:tbl>
    <w:p>
      <w:pPr>
        <w:spacing w:after="80"/>
      </w:pPr>
    </w:p>
    <w:p>
      <w:pPr>
        <w:spacing w:before="280" w:after="80"/>
      </w:pPr>
      <w:r>
        <w:rPr>
          <w:rFonts w:ascii="Calibri" w:hAnsi="Calibri"/>
          <w:b/>
          <w:color w:val="0A2540"/>
          <w:sz w:val="26"/>
        </w:rPr>
        <w:t>7.3 Prestataires externes essentiels</w:t>
      </w:r>
    </w:p>
    <w:p>
      <w:pPr>
        <w:pStyle w:val="ListBullet"/>
        <w:spacing w:after="60"/>
        <w:ind w:left="340"/>
      </w:pPr>
      <w:r/>
      <w:r>
        <w:rPr>
          <w:sz w:val="22"/>
        </w:rPr>
        <w:t>Expert-comptable agréé Ordre des Experts-Comptables CI — tenue mensuelle + bilan annuel.</w:t>
      </w:r>
    </w:p>
    <w:p>
      <w:pPr>
        <w:pStyle w:val="ListBullet"/>
        <w:spacing w:after="60"/>
        <w:ind w:left="340"/>
      </w:pPr>
      <w:r/>
      <w:r>
        <w:rPr>
          <w:sz w:val="22"/>
        </w:rPr>
        <w:t>Cabinet d'avocats spécialisé tech / numérique — conseil régulier + contrats clients/fournisseurs.</w:t>
      </w:r>
    </w:p>
    <w:p>
      <w:pPr>
        <w:pStyle w:val="ListBullet"/>
        <w:spacing w:after="60"/>
        <w:ind w:left="340"/>
      </w:pPr>
      <w:r/>
      <w:r>
        <w:rPr>
          <w:sz w:val="22"/>
        </w:rPr>
        <w:t>Cabinet de commissariat aux comptes (obligatoire à partir de certains seuils ou demande investisseurs).</w:t>
      </w:r>
    </w:p>
    <w:p>
      <w:pPr>
        <w:pStyle w:val="ListBullet"/>
        <w:spacing w:after="60"/>
        <w:ind w:left="340"/>
      </w:pPr>
      <w:r/>
      <w:r>
        <w:rPr>
          <w:sz w:val="22"/>
        </w:rPr>
        <w:t>Agence de design / branding ponctuelle pour productions visuelles institutionnelles.</w:t>
      </w:r>
    </w:p>
    <w:p>
      <w:pPr>
        <w:pStyle w:val="ListBullet"/>
        <w:spacing w:after="60"/>
        <w:ind w:left="340"/>
      </w:pPr>
      <w:r/>
      <w:r>
        <w:rPr>
          <w:sz w:val="22"/>
        </w:rPr>
        <w:t>Photographe et vidéaste pour captation des événements HERALDO et témoignages clients.</w:t>
      </w:r>
    </w:p>
    <w:p>
      <w:pPr>
        <w:spacing w:before="360" w:after="40"/>
        <w:pBdr>
          <w:bottom w:val="single" w:sz="12" w:color="B8862E"/>
        </w:pBdr>
      </w:pPr>
      <w:r>
        <w:rPr>
          <w:rFonts w:ascii="Georgia" w:hAnsi="Georgia"/>
          <w:b/>
          <w:color w:val="0A2540"/>
          <w:sz w:val="36"/>
        </w:rPr>
        <w:t>8. POLITIQUE FINANCIÈRE ET REPORTING</w:t>
      </w:r>
    </w:p>
    <w:p>
      <w:pPr>
        <w:spacing w:after="120"/>
      </w:pPr>
    </w:p>
    <w:p>
      <w:pPr>
        <w:spacing w:before="280" w:after="80"/>
      </w:pPr>
      <w:r>
        <w:rPr>
          <w:rFonts w:ascii="Calibri" w:hAnsi="Calibri"/>
          <w:b/>
          <w:color w:val="0A2540"/>
          <w:sz w:val="26"/>
        </w:rPr>
        <w:t>8.1 Reporting financier</w:t>
      </w:r>
    </w:p>
    <w:p>
      <w:pPr>
        <w:pStyle w:val="ListBullet"/>
        <w:spacing w:after="60"/>
        <w:ind w:left="340"/>
      </w:pPr>
      <w:r/>
      <w:r>
        <w:rPr>
          <w:sz w:val="22"/>
        </w:rPr>
        <w:t>Tableau de bord mensuel : CA, encaissements, décaissements, trésorerie, MRR, churn.</w:t>
      </w:r>
    </w:p>
    <w:p>
      <w:pPr>
        <w:pStyle w:val="ListBullet"/>
        <w:spacing w:after="60"/>
        <w:ind w:left="340"/>
      </w:pPr>
      <w:r/>
      <w:r>
        <w:rPr>
          <w:sz w:val="22"/>
        </w:rPr>
        <w:t>Reporting trimestriel pour le Conseil Stratégique : compte de résultat, suivi budgétaire, KPIs commerciaux.</w:t>
      </w:r>
    </w:p>
    <w:p>
      <w:pPr>
        <w:pStyle w:val="ListBullet"/>
        <w:spacing w:after="60"/>
        <w:ind w:left="340"/>
      </w:pPr>
      <w:r/>
      <w:r>
        <w:rPr>
          <w:sz w:val="22"/>
        </w:rPr>
        <w:t>Bilan annuel certifié et présentation aux associés.</w:t>
      </w:r>
    </w:p>
    <w:p>
      <w:pPr>
        <w:spacing w:before="280" w:after="80"/>
      </w:pPr>
      <w:r>
        <w:rPr>
          <w:rFonts w:ascii="Calibri" w:hAnsi="Calibri"/>
          <w:b/>
          <w:color w:val="0A2540"/>
          <w:sz w:val="26"/>
        </w:rPr>
        <w:t>8.2 Politique de trésorerie</w:t>
      </w:r>
    </w:p>
    <w:p>
      <w:pPr>
        <w:pStyle w:val="ListBullet"/>
        <w:spacing w:after="60"/>
        <w:ind w:left="340"/>
      </w:pPr>
      <w:r/>
      <w:r>
        <w:rPr>
          <w:sz w:val="22"/>
        </w:rPr>
        <w:t>Maintenir en permanence une réserve de trésorerie équivalente à 3 mois de charges fixes (&gt;= 5 M FCFA en An 1).</w:t>
      </w:r>
    </w:p>
    <w:p>
      <w:pPr>
        <w:pStyle w:val="ListBullet"/>
        <w:spacing w:after="60"/>
        <w:ind w:left="340"/>
      </w:pPr>
      <w:r/>
      <w:r>
        <w:rPr>
          <w:sz w:val="22"/>
        </w:rPr>
        <w:t>Encaisser les abonnements annuels en totalité à la signature (RG-02) — cash-positive dès le premier euro.</w:t>
      </w:r>
    </w:p>
    <w:p>
      <w:pPr>
        <w:pStyle w:val="ListBullet"/>
        <w:spacing w:after="60"/>
        <w:ind w:left="340"/>
      </w:pPr>
      <w:r/>
      <w:r>
        <w:rPr>
          <w:sz w:val="22"/>
        </w:rPr>
        <w:t>Délais de paiement clients : 0 jour pour Mobile Money, 30 jours maximum pour virement institutionnel.</w:t>
      </w:r>
    </w:p>
    <w:p>
      <w:pPr>
        <w:pStyle w:val="ListBullet"/>
        <w:spacing w:after="60"/>
        <w:ind w:left="340"/>
      </w:pPr>
      <w:r/>
      <w:r>
        <w:rPr>
          <w:sz w:val="22"/>
        </w:rPr>
        <w:t>Délais de paiement fournisseurs : négocier 30 à 45 jours avec les principaux prestataires.</w:t>
      </w:r>
    </w:p>
    <w:p>
      <w:pPr>
        <w:spacing w:before="280" w:after="80"/>
      </w:pPr>
      <w:r>
        <w:rPr>
          <w:rFonts w:ascii="Calibri" w:hAnsi="Calibri"/>
          <w:b/>
          <w:color w:val="0A2540"/>
          <w:sz w:val="26"/>
        </w:rPr>
        <w:t>8.3 Politique d'affectation du résultat</w:t>
      </w:r>
    </w:p>
    <w:p>
      <w:pPr>
        <w:spacing w:after="120" w:line="300" w:lineRule="auto"/>
        <w:jc w:val="left"/>
      </w:pPr>
      <w:r>
        <w:rPr>
          <w:b w:val="0"/>
          <w:i w:val="0"/>
          <w:sz w:val="22"/>
        </w:rPr>
        <w:t>Par défaut, sur les 3 premières années, 100% du résultat net est mis en réserve pour financer la croissance UEMOA et constituer un fonds propre solide. À partir de l'année 4, ouverture éventuelle d'une politique de distribution de dividendes (50% mise en réserve, 50% distribué) si les conditions de croissance le permettent.</w:t>
      </w:r>
    </w:p>
    <w:sectPr w:rsidR="00FC693F" w:rsidRPr="0006063C" w:rsidSect="00034616">
      <w:headerReference w:type="default" r:id="rId10"/>
      <w:footerReference w:type="default" r:id="rId11"/>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70"/>
        <w:sz w:val="16"/>
      </w:rPr>
      <w:t>« Votre message, notre mission. »  —  Document confidentiel  —  Avril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5A6470"/>
        <w:sz w:val="16"/>
      </w:rPr>
      <w:t>HERALDO PRESS  |  Organisation structurelle et budget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