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10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incip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01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spacing w:after="120"/>
        <w:jc w:val="center"/>
      </w:pPr>
      <w:r>
        <w:rPr>
          <w:rFonts w:ascii="Calibri" w:hAnsi="Calibri"/>
          <w:b/>
          <w:color w:val="B8862E"/>
          <w:sz w:val="28"/>
        </w:rPr>
        <w:t>BRAND GUIDE</w:t>
      </w:r>
    </w:p>
    <w:p>
      <w:pPr>
        <w:spacing w:after="240"/>
        <w:jc w:val="center"/>
      </w:pPr>
      <w:r>
        <w:rPr>
          <w:rFonts w:ascii="Georgia" w:hAnsi="Georgia"/>
          <w:b/>
          <w:color w:val="0A2540"/>
          <w:sz w:val="56"/>
        </w:rPr>
        <w:t>Charte graphique</w:t>
      </w:r>
    </w:p>
    <w:p>
      <w:pPr>
        <w:spacing w:after="720"/>
        <w:jc w:val="center"/>
      </w:pPr>
      <w:r>
        <w:rPr>
          <w:i/>
          <w:color w:val="5A6470"/>
          <w:sz w:val="26"/>
        </w:rPr>
        <w:t>Identité visuelle HERALDO PRESS</w:t>
        <w:br/>
        <w:t>Logo, couleurs, typographie, usages</w:t>
      </w:r>
    </w:p>
    <w:p>
      <w:pPr>
        <w:jc w:val="center"/>
      </w:pPr>
      <w:r>
        <w:rPr>
          <w:color w:val="B8862E"/>
          <w:sz w:val="28"/>
        </w:rPr>
        <w:t>— • —</w:t>
      </w:r>
    </w:p>
    <w:p/>
    <w:p/>
    <w:p/>
    <w:p/>
    <w:p/>
    <w:p/>
    <w:p/>
    <w:p/>
    <w:p>
      <w:pPr>
        <w:jc w:val="center"/>
      </w:pPr>
      <w:r>
        <w:rPr>
          <w:color w:val="5A6470"/>
          <w:sz w:val="18"/>
        </w:rPr>
        <w:t>Réf : HP-BRAND-2026-007</w:t>
        <w:br/>
        <w:t>Avril 2026  |  Abidjan, Côte d'Ivoire</w:t>
        <w:br/>
        <w:br/>
        <w:t>Document confidentiel — Usage interne et investisseurs</w:t>
      </w:r>
    </w:p>
    <w:p>
      <w:r>
        <w:br w:type="page"/>
      </w:r>
    </w:p>
    <w:p>
      <w:pPr>
        <w:spacing w:before="360" w:after="40"/>
        <w:pBdr>
          <w:bottom w:val="single" w:sz="12" w:color="B8862E"/>
        </w:pBdr>
      </w:pPr>
      <w:r>
        <w:rPr>
          <w:rFonts w:ascii="Georgia" w:hAnsi="Georgia"/>
          <w:b/>
          <w:color w:val="0A2540"/>
          <w:sz w:val="36"/>
        </w:rPr>
        <w:t>1. LE LOGO</w:t>
      </w:r>
    </w:p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1.1 Concept</w:t>
      </w:r>
    </w:p>
    <w:p>
      <w:pPr>
        <w:spacing w:after="120" w:line="300" w:lineRule="auto"/>
        <w:jc w:val="both"/>
      </w:pPr>
      <w:r>
        <w:rPr>
          <w:b w:val="0"/>
          <w:i w:val="0"/>
          <w:sz w:val="22"/>
        </w:rPr>
        <w:t>Le logo HERALDO PRESS s'inspire du héraut, messager officiel des institutions au Moyen-Âge, qui annonçait, diffusait et donnait la parole de manière solennelle. La lettre H est composée d'un pilier gauche stable et d'un pilier droit qui s'évase en mégaphone, accompagné d'ondes de diffusion : la voix officielle qui porte loin. Le cercle navy évoque le sceau institutionnel ; le filet doré apporte la dimension premium et patrimoniale.</w:t>
      </w: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1.2 Variantes officielles</w:t>
      </w:r>
    </w:p>
    <w:p>
      <w:pPr>
        <w:spacing w:after="120" w:line="300" w:lineRule="auto"/>
        <w:jc w:val="left"/>
      </w:pPr>
      <w:r>
        <w:rPr>
          <w:b w:val="0"/>
          <w:i w:val="0"/>
          <w:sz w:val="22"/>
        </w:rPr>
        <w:t>Trois variantes officielles sont déclinées en SVG (vectoriel, échelles infinies) et en PNG haute définition :</w:t>
      </w:r>
    </w:p>
    <w:p>
      <w:pPr>
        <w:pStyle w:val="ListBullet"/>
        <w:spacing w:after="60"/>
        <w:ind w:left="340"/>
      </w:pPr>
      <w:r/>
      <w:r>
        <w:rPr>
          <w:sz w:val="22"/>
        </w:rPr>
        <w:t>Logo principal horizontal — usage par défaut : sites web, présentations, supports commerciaux, signatures email.</w:t>
      </w:r>
    </w:p>
    <w:p>
      <w:pPr>
        <w:pStyle w:val="ListBullet"/>
        <w:spacing w:after="60"/>
        <w:ind w:left="340"/>
      </w:pPr>
      <w:r/>
      <w:r>
        <w:rPr>
          <w:sz w:val="22"/>
        </w:rPr>
        <w:t>Emblème seul (carré arrondi) — usage : favicon, icône d'application, avatar réseaux sociaux.</w:t>
      </w:r>
    </w:p>
    <w:p>
      <w:pPr>
        <w:pStyle w:val="ListBullet"/>
        <w:spacing w:after="60"/>
        <w:ind w:left="340"/>
      </w:pPr>
      <w:r/>
      <w:r>
        <w:rPr>
          <w:sz w:val="22"/>
        </w:rPr>
        <w:t>Version monochrome — usage : factures, documents officiels en noir et blanc, télécopies, fond foncé.</w:t>
      </w: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1.3 Logo principal — Aperçu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431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incip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3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1.4 Emblème seul — Aperçu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mble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1.5 Version monochrome — Aperçu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431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onochr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3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40"/>
        <w:pBdr>
          <w:bottom w:val="single" w:sz="12" w:color="B8862E"/>
        </w:pBdr>
      </w:pPr>
      <w:r>
        <w:rPr>
          <w:rFonts w:ascii="Georgia" w:hAnsi="Georgia"/>
          <w:b/>
          <w:color w:val="0A2540"/>
          <w:sz w:val="36"/>
        </w:rPr>
        <w:t>2. RÈGLES D'USAGE DU LOGO</w:t>
      </w:r>
    </w:p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2.1 Zone de protection</w:t>
      </w:r>
    </w:p>
    <w:p>
      <w:pPr>
        <w:spacing w:after="120" w:line="300" w:lineRule="auto"/>
        <w:jc w:val="left"/>
      </w:pPr>
      <w:r>
        <w:rPr>
          <w:b w:val="0"/>
          <w:i w:val="0"/>
          <w:sz w:val="22"/>
        </w:rPr>
        <w:t>Le logo doit toujours être entouré d'une zone de respiration équivalente à la hauteur de l'emblème circulaire. Aucun élément graphique ne doit empiéter sur cette zone.</w:t>
      </w: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2.2 Tailles minimales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Variante</w:t>
            </w:r>
          </w:p>
        </w:tc>
        <w:tc>
          <w:tcPr>
            <w:tcW w:type="dxa" w:w="4535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Taille minimale recommandée</w:t>
            </w:r>
          </w:p>
        </w:tc>
      </w:tr>
      <w:tr>
        <w:tc>
          <w:tcPr>
            <w:tcW w:type="dxa" w:w="4535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Logo principal horizontal — print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Largeur 35 mm</w:t>
            </w:r>
          </w:p>
        </w:tc>
      </w:tr>
      <w:tr>
        <w:tc>
          <w:tcPr>
            <w:tcW w:type="dxa" w:w="4535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Logo principal horizontal — écran</w:t>
            </w:r>
          </w:p>
        </w:tc>
        <w:tc>
          <w:tcPr>
            <w:tcW w:type="dxa" w:w="4535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Largeur 200 px</w:t>
            </w:r>
          </w:p>
        </w:tc>
      </w:tr>
      <w:tr>
        <w:tc>
          <w:tcPr>
            <w:tcW w:type="dxa" w:w="4535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Emblème seul — favicon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32 × 32 px</w:t>
            </w:r>
          </w:p>
        </w:tc>
      </w:tr>
      <w:tr>
        <w:tc>
          <w:tcPr>
            <w:tcW w:type="dxa" w:w="4535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Emblème seul — icône application</w:t>
            </w:r>
          </w:p>
        </w:tc>
        <w:tc>
          <w:tcPr>
            <w:tcW w:type="dxa" w:w="4535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1024 × 1024 px (source)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2.3 Usages interdits</w:t>
      </w:r>
    </w:p>
    <w:p>
      <w:pPr>
        <w:pStyle w:val="ListBullet"/>
        <w:spacing w:after="60"/>
        <w:ind w:left="340"/>
      </w:pPr>
      <w:r/>
      <w:r>
        <w:rPr>
          <w:sz w:val="22"/>
        </w:rPr>
        <w:t>Modifier les couleurs ou les proportions du logo.</w:t>
      </w:r>
    </w:p>
    <w:p>
      <w:pPr>
        <w:pStyle w:val="ListBullet"/>
        <w:spacing w:after="60"/>
        <w:ind w:left="340"/>
      </w:pPr>
      <w:r/>
      <w:r>
        <w:rPr>
          <w:sz w:val="22"/>
        </w:rPr>
        <w:t>Appliquer des effets (ombre portée, contour, dégradé non prévu, distorsion).</w:t>
      </w:r>
    </w:p>
    <w:p>
      <w:pPr>
        <w:pStyle w:val="ListBullet"/>
        <w:spacing w:after="60"/>
        <w:ind w:left="340"/>
      </w:pPr>
      <w:r/>
      <w:r>
        <w:rPr>
          <w:sz w:val="22"/>
        </w:rPr>
        <w:t>Faire pivoter le logo sauf usage exceptionnel validé.</w:t>
      </w:r>
    </w:p>
    <w:p>
      <w:pPr>
        <w:pStyle w:val="ListBullet"/>
        <w:spacing w:after="60"/>
        <w:ind w:left="340"/>
      </w:pPr>
      <w:r/>
      <w:r>
        <w:rPr>
          <w:sz w:val="22"/>
        </w:rPr>
        <w:t>Placer le logo sur un fond qui réduit la lisibilité (couleur trop proche du navy).</w:t>
      </w:r>
    </w:p>
    <w:p>
      <w:pPr>
        <w:pStyle w:val="ListBullet"/>
        <w:spacing w:after="60"/>
        <w:ind w:left="340"/>
      </w:pPr>
      <w:r/>
      <w:r>
        <w:rPr>
          <w:sz w:val="22"/>
        </w:rPr>
        <w:t>Utiliser le wordmark sans l'emblème circulaire (sauf cas exceptionnel autorisé).</w:t>
      </w:r>
    </w:p>
    <w:p>
      <w:pPr>
        <w:pStyle w:val="ListBullet"/>
        <w:spacing w:after="60"/>
        <w:ind w:left="340"/>
      </w:pPr>
      <w:r/>
      <w:r>
        <w:rPr>
          <w:sz w:val="22"/>
        </w:rPr>
        <w:t>Modifier ou supprimer la baseline « Votre message, notre mission. »</w:t>
      </w:r>
    </w:p>
    <w:p>
      <w:r>
        <w:br w:type="page"/>
      </w:r>
    </w:p>
    <w:p>
      <w:pPr>
        <w:spacing w:before="360" w:after="40"/>
        <w:pBdr>
          <w:bottom w:val="single" w:sz="12" w:color="B8862E"/>
        </w:pBdr>
      </w:pPr>
      <w:r>
        <w:rPr>
          <w:rFonts w:ascii="Georgia" w:hAnsi="Georgia"/>
          <w:b/>
          <w:color w:val="0A2540"/>
          <w:sz w:val="36"/>
        </w:rPr>
        <w:t>3. PALETTE DE COULEURS</w:t>
      </w:r>
    </w:p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3.1 Couleurs primaires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Nom</w:t>
            </w:r>
          </w:p>
        </w:tc>
        <w:tc>
          <w:tcPr>
            <w:tcW w:type="dxa" w:w="1134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1417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RGB</w:t>
            </w:r>
          </w:p>
        </w:tc>
        <w:tc>
          <w:tcPr>
            <w:tcW w:type="dxa" w:w="1417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CMJN</w:t>
            </w:r>
          </w:p>
        </w:tc>
        <w:tc>
          <w:tcPr>
            <w:tcW w:type="dxa" w:w="3402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1701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Heraldo Navy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#0A2540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10, 37, 64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92, 78, 50, 60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Couleur principale — fond emblème, titres, éléments structurants</w:t>
            </w:r>
          </w:p>
        </w:tc>
      </w:tr>
      <w:tr>
        <w:tc>
          <w:tcPr>
            <w:tcW w:type="dxa" w:w="1701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Heraldo Gold</w:t>
            </w:r>
          </w:p>
        </w:tc>
        <w:tc>
          <w:tcPr>
            <w:tcW w:type="dxa" w:w="1134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#B8862E</w:t>
            </w:r>
          </w:p>
        </w:tc>
        <w:tc>
          <w:tcPr>
            <w:tcW w:type="dxa" w:w="1417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184, 134, 46</w:t>
            </w:r>
          </w:p>
        </w:tc>
        <w:tc>
          <w:tcPr>
            <w:tcW w:type="dxa" w:w="1417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25, 45, 100, 15</w:t>
            </w:r>
          </w:p>
        </w:tc>
        <w:tc>
          <w:tcPr>
            <w:tcW w:type="dxa" w:w="3402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Couleur d'accent — pilier mégaphone, ondes, filets de séparation</w:t>
            </w:r>
          </w:p>
        </w:tc>
      </w:tr>
      <w:tr>
        <w:tc>
          <w:tcPr>
            <w:tcW w:type="dxa" w:w="1701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Gold Light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#E5B85C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229, 184, 92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10, 28, 75, 0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Variation lumineuse du gold pour les dégradés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3.2 Couleurs secondaires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Nom</w:t>
            </w:r>
          </w:p>
        </w:tc>
        <w:tc>
          <w:tcPr>
            <w:tcW w:type="dxa" w:w="1134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1417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RGB</w:t>
            </w:r>
          </w:p>
        </w:tc>
        <w:tc>
          <w:tcPr>
            <w:tcW w:type="dxa" w:w="4819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1701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Heraldo Grey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#5A6470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90, 100, 112</w:t>
            </w:r>
          </w:p>
        </w:tc>
        <w:tc>
          <w:tcPr>
            <w:tcW w:type="dxa" w:w="481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Texte secondaire, labels, baselines</w:t>
            </w:r>
          </w:p>
        </w:tc>
      </w:tr>
      <w:tr>
        <w:tc>
          <w:tcPr>
            <w:tcW w:type="dxa" w:w="1701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Light Grey</w:t>
            </w:r>
          </w:p>
        </w:tc>
        <w:tc>
          <w:tcPr>
            <w:tcW w:type="dxa" w:w="1134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#E8ECF0</w:t>
            </w:r>
          </w:p>
        </w:tc>
        <w:tc>
          <w:tcPr>
            <w:tcW w:type="dxa" w:w="1417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232, 236, 240</w:t>
            </w:r>
          </w:p>
        </w:tc>
        <w:tc>
          <w:tcPr>
            <w:tcW w:type="dxa" w:w="4819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Fonds de tableaux, encadrés discrets</w:t>
            </w:r>
          </w:p>
        </w:tc>
      </w:tr>
      <w:tr>
        <w:tc>
          <w:tcPr>
            <w:tcW w:type="dxa" w:w="1701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Dark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#1A1A1A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26, 26, 26</w:t>
            </w:r>
          </w:p>
        </w:tc>
        <w:tc>
          <w:tcPr>
            <w:tcW w:type="dxa" w:w="481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Texte courant standard</w:t>
            </w:r>
          </w:p>
        </w:tc>
      </w:tr>
      <w:tr>
        <w:tc>
          <w:tcPr>
            <w:tcW w:type="dxa" w:w="1701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White</w:t>
            </w:r>
          </w:p>
        </w:tc>
        <w:tc>
          <w:tcPr>
            <w:tcW w:type="dxa" w:w="1134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#FFFFFF</w:t>
            </w:r>
          </w:p>
        </w:tc>
        <w:tc>
          <w:tcPr>
            <w:tcW w:type="dxa" w:w="1417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255, 255, 255</w:t>
            </w:r>
          </w:p>
        </w:tc>
        <w:tc>
          <w:tcPr>
            <w:tcW w:type="dxa" w:w="4819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Fond principal, lettres dans l'emblème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sz="4" w:color="E8ECF0" w:val="single"/>
              <w:left w:sz="36" w:color="B8862E" w:val="single"/>
              <w:bottom w:sz="4" w:color="E8ECF0" w:val="single"/>
              <w:right w:sz="4" w:color="E8ECF0" w:val="single"/>
            </w:tcBorders>
            <w:shd w:val="clear" w:color="auto" w:fill="F7F9FB"/>
            <w:vAlign w:val="center"/>
            <w:tcMar>
              <w:top w:w="120" w:type="dxa"/>
              <w:bottom w:w="120" w:type="dxa"/>
              <w:left w:w="240" w:type="dxa"/>
              <w:right w:w="160" w:type="dxa"/>
            </w:tcMar>
          </w:tcPr>
          <w:p>
            <w:r/>
            <w:r>
              <w:rPr>
                <w:i/>
                <w:color w:val="0A2540"/>
                <w:sz w:val="22"/>
              </w:rPr>
              <w:t>Règle d'or : le navy et le gold sont les seuls coloris qui doivent toujours être présents dans toute communication HERALDO PRESS. Les autres couleurs sont des supports neutres qui ne doivent jamais dominer.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40"/>
        <w:pBdr>
          <w:bottom w:val="single" w:sz="12" w:color="B8862E"/>
        </w:pBdr>
      </w:pPr>
      <w:r>
        <w:rPr>
          <w:rFonts w:ascii="Georgia" w:hAnsi="Georgia"/>
          <w:b/>
          <w:color w:val="0A2540"/>
          <w:sz w:val="36"/>
        </w:rPr>
        <w:t>4. TYPOGRAPHIE</w:t>
      </w:r>
    </w:p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4.1 Polices officielles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Usage</w:t>
            </w:r>
          </w:p>
        </w:tc>
        <w:tc>
          <w:tcPr>
            <w:tcW w:type="dxa" w:w="2268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Police</w:t>
            </w:r>
          </w:p>
        </w:tc>
        <w:tc>
          <w:tcPr>
            <w:tcW w:type="dxa" w:w="4819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Substitution web/print</w:t>
            </w:r>
          </w:p>
        </w:tc>
      </w:tr>
      <w:tr>
        <w:tc>
          <w:tcPr>
            <w:tcW w:type="dxa" w:w="1984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Wordmark logo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Georgia (serif)</w:t>
            </w:r>
          </w:p>
        </w:tc>
        <w:tc>
          <w:tcPr>
            <w:tcW w:type="dxa" w:w="481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Substitution : Times New Roman, Liberation Serif</w:t>
            </w:r>
          </w:p>
        </w:tc>
      </w:tr>
      <w:tr>
        <w:tc>
          <w:tcPr>
            <w:tcW w:type="dxa" w:w="1984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Titres principaux H1, H2</w:t>
            </w:r>
          </w:p>
        </w:tc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Georgia (serif)</w:t>
            </w:r>
          </w:p>
        </w:tc>
        <w:tc>
          <w:tcPr>
            <w:tcW w:type="dxa" w:w="4819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Apporte la dimension institutionnelle et patrimoniale</w:t>
            </w:r>
          </w:p>
        </w:tc>
      </w:tr>
      <w:tr>
        <w:tc>
          <w:tcPr>
            <w:tcW w:type="dxa" w:w="1984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Sous-titres et sections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Calibri (sans-serif)</w:t>
            </w:r>
          </w:p>
        </w:tc>
        <w:tc>
          <w:tcPr>
            <w:tcW w:type="dxa" w:w="481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Lisibilité moderne pour l'écran et le print</w:t>
            </w:r>
          </w:p>
        </w:tc>
      </w:tr>
      <w:tr>
        <w:tc>
          <w:tcPr>
            <w:tcW w:type="dxa" w:w="1984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Texte courant</w:t>
            </w:r>
          </w:p>
        </w:tc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Calibri (sans-serif)</w:t>
            </w:r>
          </w:p>
        </w:tc>
        <w:tc>
          <w:tcPr>
            <w:tcW w:type="dxa" w:w="4819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Police universelle, disponible sur tous systèmes</w:t>
            </w:r>
          </w:p>
        </w:tc>
      </w:tr>
      <w:tr>
        <w:tc>
          <w:tcPr>
            <w:tcW w:type="dxa" w:w="1984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Citations et baselines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Calibri italique</w:t>
            </w:r>
          </w:p>
        </w:tc>
        <w:tc>
          <w:tcPr>
            <w:tcW w:type="dxa" w:w="481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Marquage subtil de mise en valeur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4.2 Hiérarchie typographique standard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Niveau</w:t>
            </w:r>
          </w:p>
        </w:tc>
        <w:tc>
          <w:tcPr>
            <w:tcW w:type="dxa" w:w="2268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Police</w:t>
            </w:r>
          </w:p>
        </w:tc>
        <w:tc>
          <w:tcPr>
            <w:tcW w:type="dxa" w:w="1417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Taille</w:t>
            </w:r>
          </w:p>
        </w:tc>
        <w:tc>
          <w:tcPr>
            <w:tcW w:type="dxa" w:w="2551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Couleur</w:t>
            </w:r>
          </w:p>
        </w:tc>
      </w:tr>
      <w:tr>
        <w:tc>
          <w:tcPr>
            <w:tcW w:type="dxa" w:w="2835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Titre couverture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Georgia Bold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28 pt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Heraldo Navy</w:t>
            </w:r>
          </w:p>
        </w:tc>
      </w:tr>
      <w:tr>
        <w:tc>
          <w:tcPr>
            <w:tcW w:type="dxa" w:w="2835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Titre H1 (sections)</w:t>
            </w:r>
          </w:p>
        </w:tc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Georgia Bold</w:t>
            </w:r>
          </w:p>
        </w:tc>
        <w:tc>
          <w:tcPr>
            <w:tcW w:type="dxa" w:w="1417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18 pt</w:t>
            </w:r>
          </w:p>
        </w:tc>
        <w:tc>
          <w:tcPr>
            <w:tcW w:type="dxa" w:w="2551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Heraldo Navy + filet or</w:t>
            </w:r>
          </w:p>
        </w:tc>
      </w:tr>
      <w:tr>
        <w:tc>
          <w:tcPr>
            <w:tcW w:type="dxa" w:w="2835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Titre H2 (sous-sections)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Calibri Bold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13 pt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Heraldo Navy</w:t>
            </w:r>
          </w:p>
        </w:tc>
      </w:tr>
      <w:tr>
        <w:tc>
          <w:tcPr>
            <w:tcW w:type="dxa" w:w="2835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Titre H3 (paragraphes)</w:t>
            </w:r>
          </w:p>
        </w:tc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Calibri Bold</w:t>
            </w:r>
          </w:p>
        </w:tc>
        <w:tc>
          <w:tcPr>
            <w:tcW w:type="dxa" w:w="1417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11 pt</w:t>
            </w:r>
          </w:p>
        </w:tc>
        <w:tc>
          <w:tcPr>
            <w:tcW w:type="dxa" w:w="2551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Heraldo Gold</w:t>
            </w:r>
          </w:p>
        </w:tc>
      </w:tr>
      <w:tr>
        <w:tc>
          <w:tcPr>
            <w:tcW w:type="dxa" w:w="2835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Texte courant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Calibri Regular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11 pt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Dark</w:t>
            </w:r>
          </w:p>
        </w:tc>
      </w:tr>
      <w:tr>
        <w:tc>
          <w:tcPr>
            <w:tcW w:type="dxa" w:w="2835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Texte secondaire / pied</w:t>
            </w:r>
          </w:p>
        </w:tc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Calibri Regular</w:t>
            </w:r>
          </w:p>
        </w:tc>
        <w:tc>
          <w:tcPr>
            <w:tcW w:type="dxa" w:w="1417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9 pt</w:t>
            </w:r>
          </w:p>
        </w:tc>
        <w:tc>
          <w:tcPr>
            <w:tcW w:type="dxa" w:w="2551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Heraldo Grey</w:t>
            </w:r>
          </w:p>
        </w:tc>
      </w:tr>
    </w:tbl>
    <w:p>
      <w:pPr>
        <w:spacing w:after="80"/>
      </w:pPr>
    </w:p>
    <w:p>
      <w:pPr>
        <w:spacing w:before="360" w:after="40"/>
        <w:pBdr>
          <w:bottom w:val="single" w:sz="12" w:color="B8862E"/>
        </w:pBdr>
      </w:pPr>
      <w:r>
        <w:rPr>
          <w:rFonts w:ascii="Georgia" w:hAnsi="Georgia"/>
          <w:b/>
          <w:color w:val="0A2540"/>
          <w:sz w:val="36"/>
        </w:rPr>
        <w:t>5. APPLICATIONS RECOMMANDÉES</w:t>
      </w:r>
    </w:p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5.1 Supports prioritaires à produire</w:t>
      </w:r>
    </w:p>
    <w:p>
      <w:pPr>
        <w:pStyle w:val="ListBullet"/>
        <w:spacing w:after="60"/>
        <w:ind w:left="340"/>
      </w:pPr>
      <w:r/>
      <w:r>
        <w:rPr>
          <w:sz w:val="22"/>
        </w:rPr>
        <w:t>Site internet : heraldo-press.ci (à enregistrer en priorité — vérifier également .com et .africa).</w:t>
      </w:r>
    </w:p>
    <w:p>
      <w:pPr>
        <w:pStyle w:val="ListBullet"/>
        <w:spacing w:after="60"/>
        <w:ind w:left="340"/>
      </w:pPr>
      <w:r/>
      <w:r>
        <w:rPr>
          <w:sz w:val="22"/>
        </w:rPr>
        <w:t>Cartes de visite : recto navy + emblème, verso blanc + coordonnées, finition mate.</w:t>
      </w:r>
    </w:p>
    <w:p>
      <w:pPr>
        <w:pStyle w:val="ListBullet"/>
        <w:spacing w:after="60"/>
        <w:ind w:left="340"/>
      </w:pPr>
      <w:r/>
      <w:r>
        <w:rPr>
          <w:sz w:val="22"/>
        </w:rPr>
        <w:t>Signatures email : logo principal en haut, coordonnées + baseline en bas.</w:t>
      </w:r>
    </w:p>
    <w:p>
      <w:pPr>
        <w:pStyle w:val="ListBullet"/>
        <w:spacing w:after="60"/>
        <w:ind w:left="340"/>
      </w:pPr>
      <w:r/>
      <w:r>
        <w:rPr>
          <w:sz w:val="22"/>
        </w:rPr>
        <w:t>Présentations PowerPoint / Keynote : template avec page de couverture navy + emblème en filigrane.</w:t>
      </w:r>
    </w:p>
    <w:p>
      <w:pPr>
        <w:pStyle w:val="ListBullet"/>
        <w:spacing w:after="60"/>
        <w:ind w:left="340"/>
      </w:pPr>
      <w:r/>
      <w:r>
        <w:rPr>
          <w:sz w:val="22"/>
        </w:rPr>
        <w:t>Plaquette commerciale imprimée : 4 pages A4 plié, papier 250 g, finition mate vernis sélectif sur l'emblème.</w:t>
      </w:r>
    </w:p>
    <w:p>
      <w:pPr>
        <w:pStyle w:val="ListBullet"/>
        <w:spacing w:after="60"/>
        <w:ind w:left="340"/>
      </w:pPr>
      <w:r/>
      <w:r>
        <w:rPr>
          <w:sz w:val="22"/>
        </w:rPr>
        <w:t>Goodies pour événements : carnet A5 navy + tampon doré, stylo métal, mug céramique blanche + emblème.</w:t>
      </w:r>
    </w:p>
    <w:p>
      <w:pPr>
        <w:pStyle w:val="ListBullet"/>
        <w:spacing w:after="60"/>
        <w:ind w:left="340"/>
      </w:pPr>
      <w:r/>
      <w:r>
        <w:rPr>
          <w:sz w:val="22"/>
        </w:rPr>
        <w:t>Bannières web et réseaux sociaux : LinkedIn (1584×396), Facebook (820×312), Twitter/X (1500×500).</w:t>
      </w:r>
    </w:p>
    <w:p>
      <w:pPr>
        <w:pStyle w:val="ListBullet"/>
        <w:spacing w:after="60"/>
        <w:ind w:left="340"/>
      </w:pPr>
      <w:r/>
      <w:r>
        <w:rPr>
          <w:sz w:val="22"/>
        </w:rPr>
        <w:t>Avatars réseaux sociaux : emblème seul, fond plein navy, taille minimale 400×400 px.</w:t>
      </w: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5.2 Templates Word et PowerPoint</w:t>
      </w:r>
    </w:p>
    <w:p>
      <w:pPr>
        <w:spacing w:after="120" w:line="300" w:lineRule="auto"/>
        <w:jc w:val="left"/>
      </w:pPr>
      <w:r>
        <w:rPr>
          <w:b w:val="0"/>
          <w:i w:val="0"/>
          <w:sz w:val="22"/>
        </w:rPr>
        <w:t>Tous les documents HERALDO PRESS doivent suivre la charte de présentation utilisée dans les six livrables stratégiques produits ce jour. Cette charte garantit cohérence et professionnalisme : couverture standardisée, en-tête et pied de page constants, palette de couleurs respectée, hiérarchie typographique homogène.</w:t>
      </w:r>
    </w:p>
    <w:p>
      <w:pPr>
        <w:spacing w:before="360" w:after="40"/>
        <w:pBdr>
          <w:bottom w:val="single" w:sz="12" w:color="B8862E"/>
        </w:pBdr>
      </w:pPr>
      <w:r>
        <w:rPr>
          <w:rFonts w:ascii="Georgia" w:hAnsi="Georgia"/>
          <w:b/>
          <w:color w:val="0A2540"/>
          <w:sz w:val="36"/>
        </w:rPr>
        <w:t>6. RÉSERVATIONS À EFFECTUER IMMÉDIATEMENT</w:t>
      </w:r>
    </w:p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6.1 Noms de domaine prioritaires</w:t>
      </w:r>
    </w:p>
    <w:p>
      <w:pPr>
        <w:pStyle w:val="ListBullet"/>
        <w:spacing w:after="60"/>
        <w:ind w:left="340"/>
      </w:pPr>
      <w:r/>
      <w:r>
        <w:rPr>
          <w:sz w:val="22"/>
        </w:rPr>
        <w:t>heraldo-press.ci (extension nationale CI)</w:t>
      </w:r>
    </w:p>
    <w:p>
      <w:pPr>
        <w:pStyle w:val="ListBullet"/>
        <w:spacing w:after="60"/>
        <w:ind w:left="340"/>
      </w:pPr>
      <w:r/>
      <w:r>
        <w:rPr>
          <w:sz w:val="22"/>
        </w:rPr>
        <w:t>heraldo-press.com</w:t>
      </w:r>
    </w:p>
    <w:p>
      <w:pPr>
        <w:pStyle w:val="ListBullet"/>
        <w:spacing w:after="60"/>
        <w:ind w:left="340"/>
      </w:pPr>
      <w:r/>
      <w:r>
        <w:rPr>
          <w:sz w:val="22"/>
        </w:rPr>
        <w:t>heraldo-press.africa</w:t>
      </w:r>
    </w:p>
    <w:p>
      <w:pPr>
        <w:pStyle w:val="ListBullet"/>
        <w:spacing w:after="60"/>
        <w:ind w:left="340"/>
      </w:pPr>
      <w:r/>
      <w:r>
        <w:rPr>
          <w:sz w:val="22"/>
        </w:rPr>
        <w:t>heraldopress.ci (sans tiret, en réserve)</w:t>
      </w:r>
    </w:p>
    <w:p>
      <w:pPr>
        <w:pStyle w:val="ListBullet"/>
        <w:spacing w:after="60"/>
        <w:ind w:left="340"/>
      </w:pPr>
      <w:r/>
      <w:r>
        <w:rPr>
          <w:sz w:val="22"/>
        </w:rPr>
        <w:t>heraldopress.com (sans tiret, en réserve)</w:t>
      </w: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6.2 Comptes de réseaux sociaux à réserver</w:t>
      </w:r>
    </w:p>
    <w:p>
      <w:pPr>
        <w:pStyle w:val="ListBullet"/>
        <w:spacing w:after="60"/>
        <w:ind w:left="340"/>
      </w:pPr>
      <w:r/>
      <w:r>
        <w:rPr>
          <w:sz w:val="22"/>
        </w:rPr>
        <w:t>LinkedIn — page entreprise : linkedin.com/company/heraldo-press</w:t>
      </w:r>
    </w:p>
    <w:p>
      <w:pPr>
        <w:pStyle w:val="ListBullet"/>
        <w:spacing w:after="60"/>
        <w:ind w:left="340"/>
      </w:pPr>
      <w:r/>
      <w:r>
        <w:rPr>
          <w:sz w:val="22"/>
        </w:rPr>
        <w:t>Twitter / X : @HeraldoPress (et @HeraldoPressCI)</w:t>
      </w:r>
    </w:p>
    <w:p>
      <w:pPr>
        <w:pStyle w:val="ListBullet"/>
        <w:spacing w:after="60"/>
        <w:ind w:left="340"/>
      </w:pPr>
      <w:r/>
      <w:r>
        <w:rPr>
          <w:sz w:val="22"/>
        </w:rPr>
        <w:t>Facebook : facebook.com/HeraldoPress</w:t>
      </w:r>
    </w:p>
    <w:p>
      <w:pPr>
        <w:pStyle w:val="ListBullet"/>
        <w:spacing w:after="60"/>
        <w:ind w:left="340"/>
      </w:pPr>
      <w:r/>
      <w:r>
        <w:rPr>
          <w:sz w:val="22"/>
        </w:rPr>
        <w:t>Instagram : @heraldopress</w:t>
      </w:r>
    </w:p>
    <w:p>
      <w:pPr>
        <w:pStyle w:val="ListBullet"/>
        <w:spacing w:after="60"/>
        <w:ind w:left="340"/>
      </w:pPr>
      <w:r/>
      <w:r>
        <w:rPr>
          <w:sz w:val="22"/>
        </w:rPr>
        <w:t>YouTube : @HeraldoPress (chaîne pour les replays AGORA publics)</w:t>
      </w:r>
    </w:p>
    <w:p>
      <w:pPr>
        <w:pStyle w:val="ListBullet"/>
        <w:spacing w:after="60"/>
        <w:ind w:left="340"/>
      </w:pPr>
      <w:r/>
      <w:r>
        <w:rPr>
          <w:sz w:val="22"/>
        </w:rPr>
        <w:t>TikTok : @heraldopress (audience jeunes / influenceurs CI)</w:t>
      </w: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6.3 Protection de la marque</w:t>
      </w:r>
    </w:p>
    <w:p>
      <w:pPr>
        <w:pStyle w:val="ListBullet"/>
        <w:spacing w:after="60"/>
        <w:ind w:left="340"/>
      </w:pPr>
      <w:r/>
      <w:r>
        <w:rPr>
          <w:sz w:val="22"/>
        </w:rPr>
        <w:t>Dépôt à l'OAPI (Organisation Africaine de la Propriété Intellectuelle) — couvre les 17 pays membres dont CI, Sénégal, Burkina Faso, Mali, Bénin. Coût : ~600 000 FCFA pour un dépôt en classes 35, 38, 41, 42 (services de communication, télécom, éducation, logiciels).</w:t>
      </w:r>
    </w:p>
    <w:p>
      <w:pPr>
        <w:pStyle w:val="ListBullet"/>
        <w:spacing w:after="60"/>
        <w:ind w:left="340"/>
      </w:pPr>
      <w:r/>
      <w:r>
        <w:rPr>
          <w:sz w:val="22"/>
        </w:rPr>
        <w:t>Dépôt complémentaire au Bénin et Cap-Vert si extension prévue (ces pays ne sont pas membres OAPI sur certains régimes).</w:t>
      </w:r>
    </w:p>
    <w:p>
      <w:pPr>
        <w:pStyle w:val="ListBullet"/>
        <w:spacing w:after="60"/>
        <w:ind w:left="340"/>
      </w:pPr>
      <w:r/>
      <w:r>
        <w:rPr>
          <w:sz w:val="22"/>
        </w:rPr>
        <w:t>Renouvellement à 10 ans à anticiper.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0"/>
        <w:sz w:val="16"/>
      </w:rPr>
      <w:t>« Votre message, notre mission. »  —  Document confidentiel  —  Avril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A6470"/>
        <w:sz w:val="16"/>
      </w:rPr>
      <w:t>HERALDO PRESS  |  Charte graphique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