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7CCD" w14:textId="77777777" w:rsidR="005300B4" w:rsidRDefault="008B2B7B">
      <w:pPr>
        <w:pBdr>
          <w:bottom w:val="single" w:sz="8" w:space="6" w:color="2E75B6"/>
        </w:pBdr>
        <w:spacing w:after="120"/>
        <w:jc w:val="center"/>
      </w:pPr>
      <w:r>
        <w:rPr>
          <w:b/>
          <w:bCs/>
          <w:color w:val="2E75B6"/>
          <w:sz w:val="48"/>
          <w:szCs w:val="48"/>
        </w:rPr>
        <w:t>Design Pattern Justification</w:t>
      </w:r>
    </w:p>
    <w:p w14:paraId="66BF8CC7" w14:textId="77777777" w:rsidR="005300B4" w:rsidRDefault="008B2B7B">
      <w:pPr>
        <w:spacing w:before="80" w:after="360"/>
        <w:jc w:val="center"/>
        <w:rPr>
          <w:rFonts w:hint="cs"/>
          <w:rtl/>
          <w:lang w:bidi="ar-JO"/>
        </w:rPr>
      </w:pPr>
      <w:r>
        <w:rPr>
          <w:i/>
          <w:iCs/>
          <w:color w:val="5A6A7A"/>
          <w:sz w:val="26"/>
          <w:szCs w:val="26"/>
        </w:rPr>
        <w:t>Builder Pattern — Hospital Management System</w:t>
      </w:r>
    </w:p>
    <w:p w14:paraId="5D8892FF" w14:textId="77777777" w:rsidR="005300B4" w:rsidRDefault="008B2B7B">
      <w:pPr>
        <w:pStyle w:val="Heading1"/>
        <w:pBdr>
          <w:bottom w:val="single" w:sz="6" w:space="4" w:color="2E75B6"/>
        </w:pBdr>
      </w:pPr>
      <w:r>
        <w:t>1. Selected Design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00B4" w14:paraId="43C883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40" w:type="dxa"/>
              <w:bottom w:w="140" w:type="dxa"/>
              <w:right w:w="240" w:type="dxa"/>
            </w:tcMar>
          </w:tcPr>
          <w:p w14:paraId="5B7C1F45" w14:textId="77777777" w:rsidR="005300B4" w:rsidRDefault="008B2B7B">
            <w:pPr>
              <w:jc w:val="center"/>
            </w:pPr>
            <w:r>
              <w:rPr>
                <w:b/>
                <w:bCs/>
                <w:color w:val="1A5276"/>
                <w:sz w:val="32"/>
                <w:szCs w:val="32"/>
              </w:rPr>
              <w:t>★  Builder Pattern  ★</w:t>
            </w:r>
          </w:p>
        </w:tc>
      </w:tr>
    </w:tbl>
    <w:p w14:paraId="7E71E1A9" w14:textId="77777777" w:rsidR="005300B4" w:rsidRDefault="005300B4">
      <w:pPr>
        <w:spacing w:before="80" w:after="80"/>
        <w:rPr>
          <w:rFonts w:hint="cs"/>
          <w:lang w:bidi="ar-JO"/>
        </w:rPr>
      </w:pPr>
    </w:p>
    <w:p w14:paraId="71EB1CF5" w14:textId="3480F152" w:rsidR="005300B4" w:rsidRDefault="008B2B7B" w:rsidP="00BA4D06">
      <w:pPr>
        <w:spacing w:before="60" w:after="80"/>
        <w:jc w:val="right"/>
      </w:pPr>
      <w:r>
        <w:rPr>
          <w:color w:val="333333"/>
        </w:rPr>
        <w:t xml:space="preserve">The </w:t>
      </w:r>
      <w:r>
        <w:rPr>
          <w:b/>
          <w:bCs/>
          <w:color w:val="1F2D3D"/>
        </w:rPr>
        <w:t>Builder Pattern</w:t>
      </w:r>
      <w:r>
        <w:rPr>
          <w:color w:val="333333"/>
        </w:rPr>
        <w:t xml:space="preserve"> is used to separate the construction of a complex object from its representation, allowing the same construction process to create different</w:t>
      </w:r>
      <w:r>
        <w:rPr>
          <w:color w:val="333333"/>
        </w:rPr>
        <w:t>.</w:t>
      </w:r>
    </w:p>
    <w:p w14:paraId="63C2D9EA" w14:textId="77777777" w:rsidR="005300B4" w:rsidRDefault="005300B4">
      <w:pPr>
        <w:spacing w:before="80" w:after="80"/>
        <w:rPr>
          <w:rFonts w:hint="cs"/>
          <w:lang w:bidi="ar-JO"/>
        </w:rPr>
      </w:pPr>
    </w:p>
    <w:p w14:paraId="452ECA09" w14:textId="77777777" w:rsidR="005300B4" w:rsidRDefault="008B2B7B">
      <w:pPr>
        <w:pStyle w:val="Heading1"/>
        <w:pBdr>
          <w:bottom w:val="single" w:sz="6" w:space="4" w:color="2E75B6"/>
        </w:pBdr>
      </w:pPr>
      <w:r>
        <w:t>2. Problem Alignment — The "Why"</w:t>
      </w:r>
    </w:p>
    <w:p w14:paraId="2F09A7EB" w14:textId="68BCC0FE" w:rsidR="005300B4" w:rsidRDefault="008B2B7B" w:rsidP="00BA4D06">
      <w:pPr>
        <w:spacing w:before="60" w:after="80"/>
        <w:jc w:val="right"/>
      </w:pPr>
      <w:r>
        <w:rPr>
          <w:color w:val="333333"/>
        </w:rPr>
        <w:t xml:space="preserve">In many systems, objects like a User, Report, or Car often have numerous optional parameters or complex initialization </w:t>
      </w:r>
      <w:r w:rsidR="00BA4D06">
        <w:rPr>
          <w:color w:val="333333"/>
        </w:rPr>
        <w:t>representations</w:t>
      </w:r>
      <w:r w:rsidR="00BA4D06">
        <w:rPr>
          <w:color w:val="333333"/>
        </w:rPr>
        <w:t xml:space="preserve"> </w:t>
      </w:r>
      <w:r>
        <w:rPr>
          <w:color w:val="333333"/>
        </w:rPr>
        <w:t>steps.</w:t>
      </w:r>
    </w:p>
    <w:p w14:paraId="207BA463" w14:textId="77777777" w:rsidR="005300B4" w:rsidRDefault="005300B4">
      <w:pPr>
        <w:spacing w:before="80" w:after="80"/>
        <w:rPr>
          <w:rFonts w:hint="cs"/>
          <w:lang w:bidi="ar-J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00B4" w14:paraId="640729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200" w:type="dxa"/>
              <w:bottom w:w="100" w:type="dxa"/>
              <w:right w:w="200" w:type="dxa"/>
            </w:tcMar>
          </w:tcPr>
          <w:p w14:paraId="425E1E6A" w14:textId="77777777" w:rsidR="005300B4" w:rsidRDefault="008B2B7B" w:rsidP="00BA4D06">
            <w:pPr>
              <w:jc w:val="right"/>
              <w:rPr>
                <w:rFonts w:hint="cs"/>
                <w:rtl/>
                <w:lang w:bidi="ar-JO"/>
              </w:rPr>
            </w:pPr>
            <w:r>
              <w:rPr>
                <w:b/>
                <w:bCs/>
                <w:color w:val="C0392B"/>
                <w:sz w:val="24"/>
                <w:szCs w:val="24"/>
              </w:rPr>
              <w:t>❌</w:t>
            </w:r>
            <w:r>
              <w:rPr>
                <w:b/>
                <w:bCs/>
                <w:color w:val="C0392B"/>
                <w:sz w:val="24"/>
                <w:szCs w:val="24"/>
              </w:rPr>
              <w:t xml:space="preserve">  The Anti-Pattern: Telescoping Constructor</w:t>
            </w:r>
          </w:p>
          <w:p w14:paraId="2FC1A80B" w14:textId="77777777" w:rsidR="005300B4" w:rsidRDefault="008B2B7B" w:rsidP="00BA4D06">
            <w:pPr>
              <w:spacing w:before="60"/>
              <w:jc w:val="right"/>
            </w:pPr>
            <w:r>
              <w:rPr>
                <w:color w:val="444444"/>
              </w:rPr>
              <w:t>Without the Builder, we often fall into the "Telescoping Constructor" trap, where mu</w:t>
            </w:r>
            <w:r>
              <w:rPr>
                <w:color w:val="444444"/>
              </w:rPr>
              <w:t>ltiple constructors are created to handle different combinations of parameters:</w:t>
            </w:r>
          </w:p>
          <w:p w14:paraId="3358782D" w14:textId="77777777" w:rsidR="005300B4" w:rsidRDefault="008B2B7B" w:rsidP="00BA4D06">
            <w:pPr>
              <w:spacing w:before="40"/>
              <w:jc w:val="right"/>
            </w:pPr>
            <w:r>
              <w:rPr>
                <w:rFonts w:ascii="Courier New" w:eastAsia="Courier New" w:hAnsi="Courier New" w:cs="Courier New"/>
                <w:b/>
                <w:bCs/>
                <w:color w:val="C0392B"/>
                <w:sz w:val="20"/>
                <w:szCs w:val="20"/>
              </w:rPr>
              <w:t>Object(a)  |  Object(a, b)  |  Object(a, b, c)  |  ...</w:t>
            </w:r>
          </w:p>
        </w:tc>
      </w:tr>
    </w:tbl>
    <w:p w14:paraId="01CDBEC1" w14:textId="77777777" w:rsidR="005300B4" w:rsidRDefault="005300B4">
      <w:pPr>
        <w:spacing w:before="80" w:after="80"/>
        <w:rPr>
          <w:rFonts w:hint="cs"/>
          <w:lang w:bidi="ar-J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00B4" w14:paraId="780A55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200" w:type="dxa"/>
              <w:bottom w:w="100" w:type="dxa"/>
              <w:right w:w="200" w:type="dxa"/>
            </w:tcMar>
          </w:tcPr>
          <w:p w14:paraId="4D1B9867" w14:textId="77777777" w:rsidR="005300B4" w:rsidRDefault="008B2B7B" w:rsidP="00BA4D06">
            <w:pPr>
              <w:jc w:val="right"/>
              <w:rPr>
                <w:rFonts w:hint="cs"/>
                <w:rtl/>
                <w:lang w:bidi="ar-JO"/>
              </w:rPr>
            </w:pPr>
            <w:r>
              <w:rPr>
                <w:b/>
                <w:bCs/>
                <w:color w:val="1E8449"/>
                <w:sz w:val="24"/>
                <w:szCs w:val="24"/>
              </w:rPr>
              <w:t>✅</w:t>
            </w:r>
            <w:r>
              <w:rPr>
                <w:b/>
                <w:bCs/>
                <w:color w:val="1E8449"/>
                <w:sz w:val="24"/>
                <w:szCs w:val="24"/>
              </w:rPr>
              <w:t xml:space="preserve">  The Fit: Builder Pattern Solution</w:t>
            </w:r>
          </w:p>
          <w:p w14:paraId="36B27A4B" w14:textId="77777777" w:rsidR="005300B4" w:rsidRDefault="008B2B7B" w:rsidP="00BA4D06">
            <w:pPr>
              <w:spacing w:before="60"/>
              <w:jc w:val="right"/>
              <w:rPr>
                <w:rFonts w:hint="cs"/>
                <w:rtl/>
                <w:lang w:bidi="ar-JO"/>
              </w:rPr>
            </w:pPr>
            <w:r>
              <w:rPr>
                <w:color w:val="444444"/>
              </w:rPr>
              <w:t>The Builder pattern fits because it provides a step-by-step approach to building the object. It allows producing a variety of types and representations using the same construction code, making it much more readable and less error-prone when dealing with op</w:t>
            </w:r>
            <w:r>
              <w:rPr>
                <w:color w:val="444444"/>
              </w:rPr>
              <w:t>tional configurations.</w:t>
            </w:r>
          </w:p>
        </w:tc>
      </w:tr>
    </w:tbl>
    <w:p w14:paraId="3F85C429" w14:textId="77777777" w:rsidR="005300B4" w:rsidRDefault="005300B4">
      <w:pPr>
        <w:spacing w:before="80" w:after="80"/>
        <w:rPr>
          <w:rFonts w:hint="cs"/>
          <w:lang w:bidi="ar-JO"/>
        </w:rPr>
      </w:pPr>
    </w:p>
    <w:p w14:paraId="09C32B8B" w14:textId="77777777" w:rsidR="005300B4" w:rsidRDefault="008B2B7B">
      <w:pPr>
        <w:pStyle w:val="Heading1"/>
        <w:pBdr>
          <w:bottom w:val="single" w:sz="6" w:space="4" w:color="2E75B6"/>
        </w:pBdr>
      </w:pPr>
      <w:r>
        <w:t>3. Reasoning Based on Design Principles</w:t>
      </w:r>
    </w:p>
    <w:p w14:paraId="1F6A3463" w14:textId="77777777" w:rsidR="005300B4" w:rsidRDefault="008B2B7B" w:rsidP="00BA4D06">
      <w:pPr>
        <w:spacing w:before="60" w:after="80"/>
        <w:jc w:val="right"/>
        <w:rPr>
          <w:rFonts w:hint="cs"/>
          <w:rtl/>
          <w:lang w:bidi="ar-JO"/>
        </w:rPr>
      </w:pPr>
      <w:r>
        <w:rPr>
          <w:color w:val="333333"/>
        </w:rPr>
        <w:t xml:space="preserve">To justify the </w:t>
      </w:r>
      <w:r>
        <w:rPr>
          <w:b/>
          <w:bCs/>
          <w:color w:val="1F2D3D"/>
        </w:rPr>
        <w:t>"Weight: 3" requirement</w:t>
      </w:r>
      <w:r>
        <w:rPr>
          <w:color w:val="333333"/>
        </w:rPr>
        <w:t>, the implementation is grounded in the following core principles:</w:t>
      </w:r>
    </w:p>
    <w:p w14:paraId="486878FB" w14:textId="77777777" w:rsidR="005300B4" w:rsidRDefault="005300B4">
      <w:pPr>
        <w:spacing w:before="80" w:after="80"/>
        <w:rPr>
          <w:rFonts w:hint="cs"/>
          <w:lang w:bidi="ar-J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300B4" w14:paraId="3D028D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vAlign w:val="center"/>
          </w:tcPr>
          <w:p w14:paraId="6AF605CE" w14:textId="77777777" w:rsidR="005300B4" w:rsidRDefault="008B2B7B">
            <w:pPr>
              <w:jc w:val="center"/>
            </w:pPr>
            <w:r>
              <w:rPr>
                <w:color w:val="FFFFFF"/>
                <w:sz w:val="28"/>
                <w:szCs w:val="28"/>
              </w:rPr>
              <w:t>S</w:t>
            </w:r>
          </w:p>
        </w:tc>
        <w:tc>
          <w:tcPr>
            <w:tcW w:w="87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80" w:type="dxa"/>
              <w:bottom w:w="100" w:type="dxa"/>
              <w:right w:w="180" w:type="dxa"/>
            </w:tcMar>
          </w:tcPr>
          <w:p w14:paraId="7B499AC1" w14:textId="77777777" w:rsidR="005300B4" w:rsidRDefault="008B2B7B" w:rsidP="00BA4D06">
            <w:pPr>
              <w:jc w:val="right"/>
            </w:pPr>
            <w:r>
              <w:rPr>
                <w:b/>
                <w:bCs/>
                <w:color w:val="1F2D3D"/>
                <w:sz w:val="24"/>
                <w:szCs w:val="24"/>
              </w:rPr>
              <w:t>Single Responsibility Principle (SRP)</w:t>
            </w:r>
          </w:p>
          <w:p w14:paraId="51C2E61B" w14:textId="77777777" w:rsidR="005300B4" w:rsidRDefault="008B2B7B" w:rsidP="00BA4D06">
            <w:pPr>
              <w:spacing w:before="40"/>
              <w:jc w:val="right"/>
            </w:pPr>
            <w:r>
              <w:rPr>
                <w:color w:val="444444"/>
              </w:rPr>
              <w:t>The logic for how an object is constructed is moved out of the domain class and into a dedicated Builder class. This keeps the domain class focused on its primary data or behavior.</w:t>
            </w:r>
          </w:p>
        </w:tc>
      </w:tr>
    </w:tbl>
    <w:p w14:paraId="2603CBF9" w14:textId="77777777" w:rsidR="005300B4" w:rsidRDefault="005300B4">
      <w:pPr>
        <w:spacing w:before="80" w:after="80"/>
        <w:rPr>
          <w:rFonts w:hint="cs"/>
          <w:lang w:bidi="ar-J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300B4" w14:paraId="5165E1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vAlign w:val="center"/>
          </w:tcPr>
          <w:p w14:paraId="7AB4DA28" w14:textId="77777777" w:rsidR="005300B4" w:rsidRDefault="008B2B7B" w:rsidP="00BA4D06">
            <w:pPr>
              <w:jc w:val="center"/>
            </w:pPr>
            <w:r>
              <w:rPr>
                <w:color w:val="FFFFFF"/>
                <w:sz w:val="28"/>
                <w:szCs w:val="28"/>
              </w:rPr>
              <w:t>E</w:t>
            </w:r>
          </w:p>
        </w:tc>
        <w:tc>
          <w:tcPr>
            <w:tcW w:w="87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80" w:type="dxa"/>
              <w:bottom w:w="100" w:type="dxa"/>
              <w:right w:w="180" w:type="dxa"/>
            </w:tcMar>
          </w:tcPr>
          <w:p w14:paraId="07223469" w14:textId="77777777" w:rsidR="005300B4" w:rsidRDefault="008B2B7B" w:rsidP="00BA4D06">
            <w:pPr>
              <w:jc w:val="right"/>
            </w:pPr>
            <w:r>
              <w:rPr>
                <w:b/>
                <w:bCs/>
                <w:color w:val="1F2D3D"/>
                <w:sz w:val="24"/>
                <w:szCs w:val="24"/>
              </w:rPr>
              <w:t>Encapsulation</w:t>
            </w:r>
          </w:p>
          <w:p w14:paraId="464147A2" w14:textId="77777777" w:rsidR="005300B4" w:rsidRDefault="008B2B7B" w:rsidP="00BA4D06">
            <w:pPr>
              <w:spacing w:before="40"/>
              <w:jc w:val="right"/>
            </w:pPr>
            <w:r>
              <w:rPr>
                <w:color w:val="444444"/>
              </w:rPr>
              <w:t>The internal representation of the product is hidden from the client. The client only interacts with the Builder's interface, ensuring the assembly process is controlled and the final object is always in a valid state upon calling .build().</w:t>
            </w:r>
          </w:p>
        </w:tc>
      </w:tr>
    </w:tbl>
    <w:p w14:paraId="4C7A6935" w14:textId="77777777" w:rsidR="005300B4" w:rsidRDefault="005300B4" w:rsidP="00BA4D06">
      <w:pPr>
        <w:spacing w:before="80" w:after="80"/>
        <w:jc w:val="right"/>
        <w:rPr>
          <w:rFonts w:hint="cs"/>
          <w:lang w:bidi="ar-J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300B4" w14:paraId="54C84A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vAlign w:val="center"/>
          </w:tcPr>
          <w:p w14:paraId="0F22F544" w14:textId="77777777" w:rsidR="005300B4" w:rsidRDefault="008B2B7B" w:rsidP="00BA4D06">
            <w:pPr>
              <w:jc w:val="center"/>
            </w:pPr>
            <w:r>
              <w:rPr>
                <w:color w:val="FFFFFF"/>
                <w:sz w:val="28"/>
                <w:szCs w:val="28"/>
              </w:rPr>
              <w:t>O</w:t>
            </w:r>
          </w:p>
        </w:tc>
        <w:tc>
          <w:tcPr>
            <w:tcW w:w="87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80" w:type="dxa"/>
              <w:bottom w:w="100" w:type="dxa"/>
              <w:right w:w="180" w:type="dxa"/>
            </w:tcMar>
          </w:tcPr>
          <w:p w14:paraId="4B27F177" w14:textId="77777777" w:rsidR="005300B4" w:rsidRDefault="008B2B7B" w:rsidP="00BA4D06">
            <w:pPr>
              <w:jc w:val="right"/>
            </w:pPr>
            <w:r>
              <w:rPr>
                <w:b/>
                <w:bCs/>
                <w:color w:val="1F2D3D"/>
                <w:sz w:val="24"/>
                <w:szCs w:val="24"/>
              </w:rPr>
              <w:t>Open/Closed Principle</w:t>
            </w:r>
          </w:p>
          <w:p w14:paraId="5667522C" w14:textId="77777777" w:rsidR="005300B4" w:rsidRDefault="008B2B7B" w:rsidP="00BA4D06">
            <w:pPr>
              <w:spacing w:before="40"/>
              <w:jc w:val="right"/>
            </w:pPr>
            <w:r>
              <w:rPr>
                <w:color w:val="444444"/>
              </w:rPr>
              <w:t>New types of builders can be introduced to create different variations of the product without modifying the existing client code or the product class itself.</w:t>
            </w:r>
          </w:p>
        </w:tc>
      </w:tr>
    </w:tbl>
    <w:p w14:paraId="22CE06C1" w14:textId="77777777" w:rsidR="005300B4" w:rsidRDefault="005300B4" w:rsidP="00BA4D06">
      <w:pPr>
        <w:spacing w:before="80" w:after="80"/>
        <w:jc w:val="right"/>
        <w:rPr>
          <w:rFonts w:hint="cs"/>
          <w:lang w:bidi="ar-J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300B4" w14:paraId="5EF9F3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vAlign w:val="center"/>
          </w:tcPr>
          <w:p w14:paraId="54E5E3C4" w14:textId="77777777" w:rsidR="005300B4" w:rsidRDefault="008B2B7B" w:rsidP="00BA4D06">
            <w:pPr>
              <w:jc w:val="center"/>
            </w:pPr>
            <w:r>
              <w:rPr>
                <w:color w:val="FFFFFF"/>
                <w:sz w:val="28"/>
                <w:szCs w:val="28"/>
              </w:rPr>
              <w:t>I</w:t>
            </w:r>
          </w:p>
        </w:tc>
        <w:tc>
          <w:tcPr>
            <w:tcW w:w="8760" w:type="dxa"/>
            <w:tcBorders>
              <w:top w:val="single" w:sz="1" w:space="0" w:color="CCCCCC"/>
              <w:left w:val="single" w:sz="1" w:space="0" w:color="CCCCCC"/>
              <w:bottom w:val="single" w:sz="1" w:space="0" w:color="CCCCCC"/>
              <w:right w:val="single" w:sz="1" w:space="0" w:color="CCCCCC"/>
            </w:tcBorders>
            <w:shd w:val="clear" w:color="auto" w:fill="F4F6F8"/>
            <w:tcMar>
              <w:top w:w="100" w:type="dxa"/>
              <w:left w:w="180" w:type="dxa"/>
              <w:bottom w:w="100" w:type="dxa"/>
              <w:right w:w="180" w:type="dxa"/>
            </w:tcMar>
          </w:tcPr>
          <w:p w14:paraId="125FC540" w14:textId="77777777" w:rsidR="005300B4" w:rsidRDefault="008B2B7B" w:rsidP="00BA4D06">
            <w:pPr>
              <w:jc w:val="right"/>
            </w:pPr>
            <w:r>
              <w:rPr>
                <w:b/>
                <w:bCs/>
                <w:color w:val="1F2D3D"/>
                <w:sz w:val="24"/>
                <w:szCs w:val="24"/>
              </w:rPr>
              <w:t>Immutability</w:t>
            </w:r>
          </w:p>
          <w:p w14:paraId="7F1EE311" w14:textId="77777777" w:rsidR="005300B4" w:rsidRDefault="008B2B7B" w:rsidP="00BA4D06">
            <w:pPr>
              <w:spacing w:before="40"/>
              <w:jc w:val="right"/>
            </w:pPr>
            <w:r>
              <w:rPr>
                <w:color w:val="444444"/>
              </w:rPr>
              <w:t>The Builder pattern is an excellent way to create immutable</w:t>
            </w:r>
            <w:r>
              <w:rPr>
                <w:color w:val="444444"/>
              </w:rPr>
              <w:t xml:space="preserve"> objects. Since the object is only instantiated at the final step, all fields can be made read-only once the object is built.</w:t>
            </w:r>
          </w:p>
        </w:tc>
      </w:tr>
    </w:tbl>
    <w:p w14:paraId="3601ED33" w14:textId="77777777" w:rsidR="005300B4" w:rsidRDefault="005300B4">
      <w:pPr>
        <w:spacing w:before="80" w:after="80"/>
        <w:rPr>
          <w:rFonts w:hint="cs"/>
          <w:lang w:bidi="ar-JO"/>
        </w:rPr>
      </w:pPr>
    </w:p>
    <w:p w14:paraId="02F58A1C" w14:textId="77777777" w:rsidR="005300B4" w:rsidRDefault="008B2B7B">
      <w:pPr>
        <w:pStyle w:val="Heading1"/>
        <w:pBdr>
          <w:bottom w:val="single" w:sz="6" w:space="4" w:color="2E75B6"/>
        </w:pBdr>
      </w:pPr>
      <w:r>
        <w:t>4. Comparison &amp;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300B4" w14:paraId="25F143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20BFF9B7" w14:textId="23150142" w:rsidR="005300B4" w:rsidRDefault="008B2B7B">
            <w:pPr>
              <w:jc w:val="center"/>
              <w:rPr>
                <w:lang w:bidi="ar-JO"/>
              </w:rPr>
            </w:pPr>
            <w:r>
              <w:rPr>
                <w:b/>
                <w:bCs/>
                <w:color w:val="FFFFFF"/>
                <w:sz w:val="24"/>
                <w:szCs w:val="24"/>
              </w:rPr>
              <w:t>A</w:t>
            </w:r>
            <w:r>
              <w:rPr>
                <w:b/>
                <w:bCs/>
                <w:color w:val="FFFFFF"/>
                <w:sz w:val="24"/>
                <w:szCs w:val="24"/>
              </w:rPr>
              <w:t>Factory Pattern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7FDB9508" w14:textId="77777777" w:rsidR="005300B4" w:rsidRDefault="008B2B7B">
            <w:pPr>
              <w:jc w:val="center"/>
            </w:pPr>
            <w:r>
              <w:rPr>
                <w:b/>
                <w:bCs/>
                <w:color w:val="FFFFFF"/>
                <w:sz w:val="24"/>
                <w:szCs w:val="24"/>
              </w:rPr>
              <w:t>Builder Pattern ★</w:t>
            </w:r>
          </w:p>
        </w:tc>
      </w:tr>
      <w:tr w:rsidR="005300B4" w14:paraId="2351F0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60" w:type="dxa"/>
              <w:bottom w:w="100" w:type="dxa"/>
              <w:right w:w="160" w:type="dxa"/>
            </w:tcMar>
          </w:tcPr>
          <w:p w14:paraId="33B94493" w14:textId="77777777" w:rsidR="005300B4" w:rsidRDefault="008B2B7B" w:rsidP="00BA4D06">
            <w:pPr>
              <w:spacing w:before="40" w:after="40"/>
              <w:jc w:val="right"/>
            </w:pPr>
            <w:r>
              <w:rPr>
                <w:color w:val="555555"/>
              </w:rPr>
              <w:t>•  Creates product in a single call</w:t>
            </w:r>
          </w:p>
          <w:p w14:paraId="658898C3" w14:textId="77777777" w:rsidR="005300B4" w:rsidRDefault="008B2B7B" w:rsidP="00BA4D06">
            <w:pPr>
              <w:spacing w:before="40" w:after="40"/>
              <w:jc w:val="right"/>
            </w:pPr>
            <w:r>
              <w:rPr>
                <w:color w:val="555555"/>
              </w:rPr>
              <w:t>•  Simple object creation</w:t>
            </w:r>
          </w:p>
          <w:p w14:paraId="4459571E" w14:textId="77777777" w:rsidR="005300B4" w:rsidRDefault="008B2B7B" w:rsidP="00BA4D06">
            <w:pPr>
              <w:spacing w:before="40" w:after="40"/>
              <w:jc w:val="right"/>
            </w:pPr>
            <w:r>
              <w:rPr>
                <w:color w:val="555555"/>
              </w:rPr>
              <w:t>•  Less configuration flexibility</w:t>
            </w:r>
          </w:p>
        </w:tc>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326FF16A" w14:textId="77777777" w:rsidR="005300B4" w:rsidRDefault="008B2B7B" w:rsidP="00BA4D06">
            <w:pPr>
              <w:spacing w:before="40" w:after="40"/>
              <w:jc w:val="right"/>
            </w:pPr>
            <w:r>
              <w:rPr>
                <w:color w:val="333333"/>
              </w:rPr>
              <w:t>•  Multi-step construction process</w:t>
            </w:r>
          </w:p>
          <w:p w14:paraId="0B8D4F58" w14:textId="77777777" w:rsidR="005300B4" w:rsidRDefault="008B2B7B" w:rsidP="00BA4D06">
            <w:pPr>
              <w:spacing w:before="40" w:after="40"/>
              <w:jc w:val="right"/>
            </w:pPr>
            <w:r>
              <w:rPr>
                <w:color w:val="333333"/>
              </w:rPr>
              <w:t>•  High level of configuration</w:t>
            </w:r>
          </w:p>
          <w:p w14:paraId="4729A2A8" w14:textId="77777777" w:rsidR="005300B4" w:rsidRDefault="008B2B7B" w:rsidP="00BA4D06">
            <w:pPr>
              <w:spacing w:before="40" w:after="40"/>
              <w:jc w:val="right"/>
            </w:pPr>
            <w:r>
              <w:rPr>
                <w:color w:val="333333"/>
              </w:rPr>
              <w:t>•  Readable, maintainable, immutable</w:t>
            </w:r>
          </w:p>
        </w:tc>
      </w:tr>
    </w:tbl>
    <w:p w14:paraId="19714290" w14:textId="77777777" w:rsidR="005300B4" w:rsidRDefault="005300B4">
      <w:pPr>
        <w:spacing w:before="80" w:after="80"/>
        <w:rPr>
          <w:rFonts w:hint="cs"/>
          <w:lang w:bidi="ar-JO"/>
        </w:rPr>
      </w:pPr>
    </w:p>
    <w:p w14:paraId="29134CE1" w14:textId="77777777" w:rsidR="005300B4" w:rsidRDefault="008B2B7B" w:rsidP="00BA4D06">
      <w:pPr>
        <w:pBdr>
          <w:left w:val="single" w:sz="12" w:space="8" w:color="2E75B6"/>
        </w:pBdr>
        <w:spacing w:before="120" w:after="60"/>
        <w:ind w:left="360"/>
        <w:jc w:val="right"/>
        <w:rPr>
          <w:rFonts w:hint="cs"/>
          <w:rtl/>
          <w:lang w:bidi="ar-JO"/>
        </w:rPr>
      </w:pPr>
      <w:r>
        <w:rPr>
          <w:color w:val="333333"/>
        </w:rPr>
        <w:t xml:space="preserve">Unlike the Factory Pattern (which creates a product in a single call), the </w:t>
      </w:r>
      <w:r>
        <w:rPr>
          <w:b/>
          <w:bCs/>
          <w:color w:val="1F2D3D"/>
        </w:rPr>
        <w:t>Builder Pattern</w:t>
      </w:r>
      <w:r>
        <w:rPr>
          <w:color w:val="333333"/>
        </w:rPr>
        <w:t xml:space="preserve"> is used when the creation involves a </w:t>
      </w:r>
      <w:r>
        <w:rPr>
          <w:b/>
          <w:bCs/>
          <w:color w:val="1F2D3D"/>
        </w:rPr>
        <w:t>multi-step process</w:t>
      </w:r>
      <w:r>
        <w:rPr>
          <w:color w:val="333333"/>
        </w:rPr>
        <w:t xml:space="preserve"> or requires a </w:t>
      </w:r>
      <w:r>
        <w:rPr>
          <w:b/>
          <w:bCs/>
          <w:color w:val="1F2D3D"/>
        </w:rPr>
        <w:t>high level of configuration</w:t>
      </w:r>
      <w:r>
        <w:rPr>
          <w:color w:val="333333"/>
        </w:rPr>
        <w:t>.</w:t>
      </w:r>
    </w:p>
    <w:sectPr w:rsidR="005300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A67F76"/>
    <w:multiLevelType w:val="hybridMultilevel"/>
    <w:tmpl w:val="2A0A2C34"/>
    <w:lvl w:ilvl="0" w:tplc="0F602BCC">
      <w:start w:val="1"/>
      <w:numFmt w:val="bullet"/>
      <w:lvlText w:val="•"/>
      <w:lvlJc w:val="left"/>
      <w:pPr>
        <w:ind w:left="720" w:hanging="360"/>
      </w:pPr>
      <w:rPr>
        <w:color w:val="2E75B6"/>
      </w:rPr>
    </w:lvl>
    <w:lvl w:ilvl="1" w:tplc="7AC67C6E">
      <w:numFmt w:val="decimal"/>
      <w:lvlText w:val=""/>
      <w:lvlJc w:val="left"/>
    </w:lvl>
    <w:lvl w:ilvl="2" w:tplc="2E98EF5E">
      <w:numFmt w:val="decimal"/>
      <w:lvlText w:val=""/>
      <w:lvlJc w:val="left"/>
    </w:lvl>
    <w:lvl w:ilvl="3" w:tplc="77822FA4">
      <w:numFmt w:val="decimal"/>
      <w:lvlText w:val=""/>
      <w:lvlJc w:val="left"/>
    </w:lvl>
    <w:lvl w:ilvl="4" w:tplc="FBB4E3EA">
      <w:numFmt w:val="decimal"/>
      <w:lvlText w:val=""/>
      <w:lvlJc w:val="left"/>
    </w:lvl>
    <w:lvl w:ilvl="5" w:tplc="22881C2A">
      <w:numFmt w:val="decimal"/>
      <w:lvlText w:val=""/>
      <w:lvlJc w:val="left"/>
    </w:lvl>
    <w:lvl w:ilvl="6" w:tplc="F6FA92E2">
      <w:numFmt w:val="decimal"/>
      <w:lvlText w:val=""/>
      <w:lvlJc w:val="left"/>
    </w:lvl>
    <w:lvl w:ilvl="7" w:tplc="615C915C">
      <w:numFmt w:val="decimal"/>
      <w:lvlText w:val=""/>
      <w:lvlJc w:val="left"/>
    </w:lvl>
    <w:lvl w:ilvl="8" w:tplc="FCF62D06">
      <w:numFmt w:val="decimal"/>
      <w:lvlText w:val=""/>
      <w:lvlJc w:val="left"/>
    </w:lvl>
  </w:abstractNum>
  <w:abstractNum w:abstractNumId="1" w15:restartNumberingAfterBreak="0">
    <w:nsid w:val="629253B7"/>
    <w:multiLevelType w:val="hybridMultilevel"/>
    <w:tmpl w:val="B74C808E"/>
    <w:lvl w:ilvl="0" w:tplc="590C9450">
      <w:start w:val="1"/>
      <w:numFmt w:val="bullet"/>
      <w:lvlText w:val="●"/>
      <w:lvlJc w:val="left"/>
      <w:pPr>
        <w:ind w:left="720" w:hanging="360"/>
      </w:pPr>
    </w:lvl>
    <w:lvl w:ilvl="1" w:tplc="66C29F72">
      <w:start w:val="1"/>
      <w:numFmt w:val="bullet"/>
      <w:lvlText w:val="○"/>
      <w:lvlJc w:val="left"/>
      <w:pPr>
        <w:ind w:left="1440" w:hanging="360"/>
      </w:pPr>
    </w:lvl>
    <w:lvl w:ilvl="2" w:tplc="89C24F54">
      <w:start w:val="1"/>
      <w:numFmt w:val="bullet"/>
      <w:lvlText w:val="■"/>
      <w:lvlJc w:val="left"/>
      <w:pPr>
        <w:ind w:left="2160" w:hanging="360"/>
      </w:pPr>
    </w:lvl>
    <w:lvl w:ilvl="3" w:tplc="D0C0D3A8">
      <w:start w:val="1"/>
      <w:numFmt w:val="bullet"/>
      <w:lvlText w:val="●"/>
      <w:lvlJc w:val="left"/>
      <w:pPr>
        <w:ind w:left="2880" w:hanging="360"/>
      </w:pPr>
    </w:lvl>
    <w:lvl w:ilvl="4" w:tplc="9328D7A8">
      <w:start w:val="1"/>
      <w:numFmt w:val="bullet"/>
      <w:lvlText w:val="○"/>
      <w:lvlJc w:val="left"/>
      <w:pPr>
        <w:ind w:left="3600" w:hanging="360"/>
      </w:pPr>
    </w:lvl>
    <w:lvl w:ilvl="5" w:tplc="CD32AADC">
      <w:start w:val="1"/>
      <w:numFmt w:val="bullet"/>
      <w:lvlText w:val="■"/>
      <w:lvlJc w:val="left"/>
      <w:pPr>
        <w:ind w:left="4320" w:hanging="360"/>
      </w:pPr>
    </w:lvl>
    <w:lvl w:ilvl="6" w:tplc="606CA3F8">
      <w:start w:val="1"/>
      <w:numFmt w:val="bullet"/>
      <w:lvlText w:val="●"/>
      <w:lvlJc w:val="left"/>
      <w:pPr>
        <w:ind w:left="5040" w:hanging="360"/>
      </w:pPr>
    </w:lvl>
    <w:lvl w:ilvl="7" w:tplc="078A773C">
      <w:start w:val="1"/>
      <w:numFmt w:val="bullet"/>
      <w:lvlText w:val="●"/>
      <w:lvlJc w:val="left"/>
      <w:pPr>
        <w:ind w:left="5760" w:hanging="360"/>
      </w:pPr>
    </w:lvl>
    <w:lvl w:ilvl="8" w:tplc="CE6A784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0B4"/>
    <w:rsid w:val="005300B4"/>
    <w:rsid w:val="008B2B7B"/>
    <w:rsid w:val="00BA4D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08E4C"/>
  <w15:docId w15:val="{4BBA837B-E345-4899-ABFA-D7DA2D762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120"/>
      <w:outlineLvl w:val="0"/>
    </w:pPr>
    <w:rPr>
      <w:b/>
      <w:bCs/>
      <w:color w:val="2E75B6"/>
      <w:sz w:val="32"/>
      <w:szCs w:val="32"/>
    </w:rPr>
  </w:style>
  <w:style w:type="paragraph" w:styleId="Heading2">
    <w:name w:val="heading 2"/>
    <w:uiPriority w:val="9"/>
    <w:semiHidden/>
    <w:unhideWhenUsed/>
    <w:qFormat/>
    <w:pPr>
      <w:spacing w:before="240" w:after="80"/>
      <w:outlineLvl w:val="1"/>
    </w:pPr>
    <w:rPr>
      <w:b/>
      <w:bCs/>
      <w:color w:val="1F2D3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قاسم فندي عزات الحميدي</cp:lastModifiedBy>
  <cp:revision>3</cp:revision>
  <dcterms:created xsi:type="dcterms:W3CDTF">2026-04-16T17:25:00Z</dcterms:created>
  <dcterms:modified xsi:type="dcterms:W3CDTF">2026-04-16T17:39:00Z</dcterms:modified>
</cp:coreProperties>
</file>