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ADR-001: Memory Architecture</w:t>
      </w:r>
    </w:p>
    <w:p>
      <w:pPr>
        <w:spacing w:after="60" w:before="0"/>
        <w:jc w:val="center"/>
      </w:pPr>
      <w:r>
        <w:rPr>
          <w:rFonts w:ascii="Arial" w:cs="Arial" w:eastAsia="Arial" w:hAnsi="Arial"/>
          <w:color w:val="888780"/>
          <w:sz w:val="22"/>
          <w:szCs w:val="22"/>
        </w:rPr>
        <w:t xml:space="preserve">Architecture Decision Record  •  April 2026  •  Active</w:t>
      </w:r>
    </w:p>
    <w:p>
      <w:pPr>
        <w:spacing w:after="60" w:before="60"/>
      </w:pPr>
      <w:r>
        <w:t xml:space="preserve"/>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2C2A"/>
          <w:sz w:val="32"/>
          <w:szCs w:val="32"/>
        </w:rPr>
        <w:t xml:space="preserve">1. Context</w:t>
      </w:r>
    </w:p>
    <w:p>
      <w:pPr>
        <w:spacing w:after="80" w:before="80"/>
      </w:pPr>
      <w:r>
        <w:rPr>
          <w:rFonts w:ascii="Arial" w:cs="Arial" w:eastAsia="Arial" w:hAnsi="Arial"/>
          <w:color w:val="2C2C2A"/>
          <w:sz w:val="22"/>
          <w:szCs w:val="22"/>
        </w:rPr>
        <w:t xml:space="preserve">ManFriday needs a memory architecture that lets the Q&amp;A agent feel like it genuinely knows the user — across sessions, across topics, across time. Karpathy's note (K-17) suggests synthetic data generation and fine-tuning as the endgame. We evaluated four approaches: fine-tuning, RAG, context window stuffing, and a layered memory system.</w:t>
      </w:r>
    </w:p>
    <w:p>
      <w:pPr>
        <w:spacing w:after="60" w:before="60"/>
      </w:pPr>
      <w:r>
        <w:t xml:space="preserve"/>
      </w:r>
    </w:p>
    <w:p>
      <w:pPr>
        <w:spacing w:after="80" w:before="80"/>
      </w:pPr>
      <w:r>
        <w:rPr>
          <w:rFonts w:ascii="Arial" w:cs="Arial" w:eastAsia="Arial" w:hAnsi="Arial"/>
          <w:color w:val="2C2C2A"/>
          <w:sz w:val="22"/>
          <w:szCs w:val="22"/>
        </w:rPr>
        <w:t xml:space="preserve">The critical constraint: ManFriday is a multi-user product where each user's wiki grows continuously. Any memory architecture must be updatable, citable (agent can say where it learned something), and economically viable at per-user scale.</w:t>
      </w:r>
    </w:p>
    <w:p>
      <w:pPr>
        <w:pStyle w:val="Heading1"/>
        <w:spacing w:after="180" w:before="360"/>
      </w:pPr>
      <w:r>
        <w:rPr>
          <w:rFonts w:ascii="Arial" w:cs="Arial" w:eastAsia="Arial" w:hAnsi="Arial"/>
          <w:b/>
          <w:bCs/>
          <w:color w:val="2C2C2A"/>
          <w:sz w:val="32"/>
          <w:szCs w:val="32"/>
        </w:rPr>
        <w:t xml:space="preserve">2. Decision</w:t>
      </w:r>
    </w:p>
    <w:p>
      <w:pPr>
        <w:spacing w:after="80" w:before="80"/>
      </w:pPr>
      <w:r>
        <w:rPr>
          <w:rFonts w:ascii="Arial" w:cs="Arial" w:eastAsia="Arial" w:hAnsi="Arial"/>
          <w:color w:val="2C2C2A"/>
          <w:sz w:val="22"/>
          <w:szCs w:val="22"/>
        </w:rPr>
        <w:t xml:space="preserve">We adopt a five-layer memory architecture, introduced progressively across phases — not all at once.</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3560"/>
        <w:gridCol w:w="1500"/>
      </w:tblGrid>
      <w:tr>
        <w:trPr>
          <w:tblHeader/>
        </w:trPr>
        <w:tc>
          <w:tcPr>
            <w:tcW w:type="dxa" w:w="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Layer</w:t>
            </w:r>
          </w:p>
        </w:tc>
        <w:tc>
          <w:tcPr>
            <w:tcW w:type="dxa" w:w="16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Name</w:t>
            </w:r>
          </w:p>
        </w:tc>
        <w:tc>
          <w:tcPr>
            <w:tcW w:type="dxa" w:w="16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Phase</w:t>
            </w:r>
          </w:p>
        </w:tc>
        <w:tc>
          <w:tcPr>
            <w:tcW w:type="dxa" w:w="35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Implementation</w:t>
            </w:r>
          </w:p>
        </w:tc>
        <w:tc>
          <w:tcPr>
            <w:tcW w:type="dxa" w:w="1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L1</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Working memory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 — have</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SSE session state (in-context)</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L2</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Semantic memory</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 — have → II upgrade</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BM25 now; pgvector when wiki &gt; 200 articles</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REQ-015,016,049</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L3</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Episodic memory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 — add now</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episodes.jsonl in output_filing_worker</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REQ-053</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L4</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Procedural memory</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II</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Playbooks extracted by lint worker from episodes</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L5</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World model</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II</w:t>
            </w:r>
          </w:p>
        </w:tc>
        <w:tc>
          <w:tcPr>
            <w:tcW w:type="dxa" w:w="3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backlinks.md (Phase I) → graph.json (Phase II)</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Phase II</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L6</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Domain fine-tune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III — power users only</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LoRA on public topic data; never personal data</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Phase III</w:t>
            </w:r>
          </w:p>
        </w:tc>
      </w:tr>
    </w:tbl>
    <w:p>
      <w:pPr>
        <w:pStyle w:val="Heading1"/>
        <w:spacing w:after="180" w:before="360"/>
      </w:pPr>
      <w:r>
        <w:rPr>
          <w:rFonts w:ascii="Arial" w:cs="Arial" w:eastAsia="Arial" w:hAnsi="Arial"/>
          <w:b/>
          <w:bCs/>
          <w:color w:val="2C2C2A"/>
          <w:sz w:val="32"/>
          <w:szCs w:val="32"/>
        </w:rPr>
        <w:t xml:space="preserve">3. Key Decisions and Rationale</w:t>
      </w:r>
    </w:p>
    <w:p>
      <w:pPr>
        <w:pStyle w:val="Heading2"/>
        <w:spacing w:after="120" w:before="280"/>
      </w:pPr>
      <w:r>
        <w:rPr>
          <w:rFonts w:ascii="Arial" w:cs="Arial" w:eastAsia="Arial" w:hAnsi="Arial"/>
          <w:b/>
          <w:bCs/>
          <w:color w:val="534AB7"/>
          <w:sz w:val="26"/>
          <w:szCs w:val="26"/>
        </w:rPr>
        <w:t xml:space="preserve">3.1 BM25 now, pgvector at scale threshold</w:t>
      </w:r>
    </w:p>
    <w:p>
      <w:pPr>
        <w:spacing w:after="80" w:before="80"/>
      </w:pPr>
      <w:r>
        <w:rPr>
          <w:rFonts w:ascii="Arial" w:cs="Arial" w:eastAsia="Arial" w:hAnsi="Arial"/>
          <w:color w:val="2C2C2A"/>
          <w:sz w:val="22"/>
          <w:szCs w:val="22"/>
        </w:rPr>
        <w:t xml:space="preserve">BM25 is correct for Phase I. At 10–100 articles (where all users start), BM25 retrieval quality is indistinguishable from vector search in practice. pgvector requires Cloud SQL, embedding API calls on every compile cycle, and similarity threshold tuning — engineering cost for a problem that does not exist yet.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Trigger for pgvector upgrade: any user's wiki exceeds 200 articles OR user reports search quality issues. Observable threshold, not speculative.</w:t>
            </w:r>
          </w:p>
        </w:tc>
      </w:tr>
    </w:tbl>
    <w:p>
      <w:pPr>
        <w:pStyle w:val="Heading2"/>
        <w:spacing w:after="120" w:before="280"/>
      </w:pPr>
      <w:r>
        <w:rPr>
          <w:rFonts w:ascii="Arial" w:cs="Arial" w:eastAsia="Arial" w:hAnsi="Arial"/>
          <w:b/>
          <w:bCs/>
          <w:color w:val="534AB7"/>
          <w:sz w:val="26"/>
          <w:szCs w:val="26"/>
        </w:rPr>
        <w:t xml:space="preserve">3.2 Episode logger is the one Phase I memory addition</w:t>
      </w:r>
    </w:p>
    <w:p>
      <w:pPr>
        <w:spacing w:after="80" w:before="80"/>
      </w:pPr>
      <w:r>
        <w:rPr>
          <w:rFonts w:ascii="Arial" w:cs="Arial" w:eastAsia="Arial" w:hAnsi="Arial"/>
          <w:color w:val="2C2C2A"/>
          <w:sz w:val="22"/>
          <w:szCs w:val="22"/>
        </w:rPr>
        <w:t xml:space="preserve">The episode logger (REQ-053) is approximately 50 lines appended to output_filing_worker.py. It writes a structured record after every Q&amp;A completion to wiki/{user_id}/memory/episodes.jsonl. This single change makes the agent aware of what the user has explored before — the foundational capability that playbooks, proactive surfacing, and pattern detection all build on.</w:t>
      </w:r>
    </w:p>
    <w:p>
      <w:pPr>
        <w:spacing w:after="60" w:before="60"/>
      </w:pPr>
      <w:r>
        <w:t xml:space="preserve"/>
      </w:r>
    </w:p>
    <w:p>
      <w:pPr>
        <w:spacing w:after="80" w:before="80"/>
      </w:pPr>
      <w:r>
        <w:rPr>
          <w:rFonts w:ascii="Arial" w:cs="Arial" w:eastAsia="Arial" w:hAnsi="Arial"/>
          <w:i/>
          <w:iCs/>
          <w:color w:val="2C2C2A"/>
          <w:sz w:val="22"/>
          <w:szCs w:val="22"/>
        </w:rPr>
        <w:t xml:space="preserve">No other memory layer is Phase I. Playbooks require a minimum of approximately 20 Q&amp;A sessions to detect meaningful patterns. The world model graph requires LLM entity extraction quality that cannot be guaranteed without a quality gate mechanism. Both are Phase II.</w:t>
      </w:r>
    </w:p>
    <w:p>
      <w:pPr>
        <w:pStyle w:val="Heading2"/>
        <w:spacing w:after="120" w:before="280"/>
      </w:pPr>
      <w:r>
        <w:rPr>
          <w:rFonts w:ascii="Arial" w:cs="Arial" w:eastAsia="Arial" w:hAnsi="Arial"/>
          <w:b/>
          <w:bCs/>
          <w:color w:val="534AB7"/>
          <w:sz w:val="26"/>
          <w:szCs w:val="26"/>
        </w:rPr>
        <w:t xml:space="preserve">3.3 World model = backlinks.md in Phase I</w:t>
      </w:r>
    </w:p>
    <w:p>
      <w:pPr>
        <w:spacing w:after="80" w:before="80"/>
      </w:pPr>
      <w:r>
        <w:rPr>
          <w:rFonts w:ascii="Arial" w:cs="Arial" w:eastAsia="Arial" w:hAnsi="Arial"/>
          <w:color w:val="2C2C2A"/>
          <w:sz w:val="22"/>
          <w:szCs w:val="22"/>
        </w:rPr>
        <w:t xml:space="preserve">The backlinks.md file already spec'd is a knowledge graph. Articles linking to each other via [[wikilinks]] encode implicit relationships. The Q&amp;A agent can traverse this today via the backlinks.md adjacency map.</w:t>
      </w:r>
    </w:p>
    <w:p>
      <w:pPr>
        <w:spacing w:after="60" w:before="60"/>
      </w:pPr>
      <w:r>
        <w:t xml:space="preserve"/>
      </w:r>
    </w:p>
    <w:p>
      <w:pPr>
        <w:spacing w:after="80" w:before="80"/>
      </w:pPr>
      <w:r>
        <w:rPr>
          <w:rFonts w:ascii="Arial" w:cs="Arial" w:eastAsia="Arial" w:hAnsi="Arial"/>
          <w:color w:val="2C2C2A"/>
          <w:sz w:val="22"/>
          <w:szCs w:val="22"/>
        </w:rPr>
        <w:t xml:space="preserve">Explicit entity and relationship extraction (spaCy + LLM) is Phase II because: extraction quality from free-form text has a meaningful error rate; inconsistent entity mentions across articles cause graph fragmentation; and schema design requires user feedback to get right. Phase II graph extraction must include confidence scoring and graceful degradation.</w:t>
      </w:r>
    </w:p>
    <w:p>
      <w:pPr>
        <w:pStyle w:val="Heading2"/>
        <w:spacing w:after="120" w:before="280"/>
      </w:pPr>
      <w:r>
        <w:rPr>
          <w:rFonts w:ascii="Arial" w:cs="Arial" w:eastAsia="Arial" w:hAnsi="Arial"/>
          <w:b/>
          <w:bCs/>
          <w:color w:val="534AB7"/>
          <w:sz w:val="26"/>
          <w:szCs w:val="26"/>
        </w:rPr>
        <w:t xml:space="preserve">3.4 Fine-tuning is Phase III, public topic data only, never personal data</w:t>
      </w:r>
    </w:p>
    <w:p>
      <w:pPr>
        <w:spacing w:after="80" w:before="80"/>
      </w:pPr>
      <w:r>
        <w:rPr>
          <w:rFonts w:ascii="Arial" w:cs="Arial" w:eastAsia="Arial" w:hAnsi="Arial"/>
          <w:color w:val="2C2C2A"/>
          <w:sz w:val="22"/>
          <w:szCs w:val="22"/>
        </w:rPr>
        <w:t xml:space="preserve">Fine-tuning is the wrong answer for personal data in an agentic system for three reasons:</w:t>
      </w:r>
    </w:p>
    <w:p>
      <w:pPr>
        <w:pStyle w:val="ListParagraph"/>
        <w:numPr>
          <w:ilvl w:val="0"/>
          <w:numId w:val="2"/>
        </w:numPr>
        <w:spacing w:after="60" w:before="60"/>
      </w:pPr>
      <w:r>
        <w:rPr>
          <w:rFonts w:ascii="Arial" w:cs="Arial" w:eastAsia="Arial" w:hAnsi="Arial"/>
          <w:color w:val="2C2C2A"/>
          <w:sz w:val="22"/>
          <w:szCs w:val="22"/>
        </w:rPr>
        <w:t xml:space="preserve">No provenance: fine-tuned knowledge cannot be cited. An agent that cannot say 'I learned this from your article on X' cannot be trusted by users who care about accuracy.</w:t>
      </w:r>
    </w:p>
    <w:p>
      <w:pPr>
        <w:pStyle w:val="ListParagraph"/>
        <w:numPr>
          <w:ilvl w:val="0"/>
          <w:numId w:val="2"/>
        </w:numPr>
        <w:spacing w:after="60" w:before="60"/>
      </w:pPr>
      <w:r>
        <w:rPr>
          <w:rFonts w:ascii="Arial" w:cs="Arial" w:eastAsia="Arial" w:hAnsi="Arial"/>
          <w:color w:val="2C2C2A"/>
          <w:sz w:val="22"/>
          <w:szCs w:val="22"/>
        </w:rPr>
        <w:t xml:space="preserve">Static: the wiki grows daily. A fine-tuned model from last month does not know what was ingested this week. Re-training is expensive and slow.</w:t>
      </w:r>
    </w:p>
    <w:p>
      <w:pPr>
        <w:pStyle w:val="ListParagraph"/>
        <w:numPr>
          <w:ilvl w:val="0"/>
          <w:numId w:val="2"/>
        </w:numPr>
        <w:spacing w:after="60" w:before="60"/>
      </w:pPr>
      <w:r>
        <w:rPr>
          <w:rFonts w:ascii="Arial" w:cs="Arial" w:eastAsia="Arial" w:hAnsi="Arial"/>
          <w:color w:val="2C2C2A"/>
          <w:sz w:val="22"/>
          <w:szCs w:val="22"/>
        </w:rPr>
        <w:t xml:space="preserve">Privacy risk: sending personal data to a training pipeline creates data handling obligations disproportionate to the benefit.</w:t>
      </w:r>
    </w:p>
    <w:p>
      <w:pPr>
        <w:spacing w:after="60" w:before="60"/>
      </w:pPr>
      <w:r>
        <w:t xml:space="preserve"/>
      </w:r>
    </w:p>
    <w:p>
      <w:pPr>
        <w:spacing w:after="80" w:before="80"/>
      </w:pPr>
      <w:r>
        <w:rPr>
          <w:rFonts w:ascii="Arial" w:cs="Arial" w:eastAsia="Arial" w:hAnsi="Arial"/>
          <w:color w:val="2C2C2A"/>
          <w:sz w:val="22"/>
          <w:szCs w:val="22"/>
        </w:rPr>
        <w:t xml:space="preserve">When fine-tuning does make sense (Phase III, power users with 500+ articles who have hit retrieval quality ceiling): fine-tune on the user's topic domain using public sources from their wiki. The model gets domain expertise in weights. Personal data stays in the world model where it remains citable.</w:t>
      </w:r>
    </w:p>
    <w:p>
      <w:pPr>
        <w:pStyle w:val="Heading2"/>
        <w:spacing w:after="120" w:before="280"/>
      </w:pPr>
      <w:r>
        <w:rPr>
          <w:rFonts w:ascii="Arial" w:cs="Arial" w:eastAsia="Arial" w:hAnsi="Arial"/>
          <w:b/>
          <w:bCs/>
          <w:color w:val="534AB7"/>
          <w:sz w:val="26"/>
          <w:szCs w:val="26"/>
        </w:rPr>
        <w:t xml:space="preserve">3.5 Memory decisions belong in ADRs, not locked into the RTM</w:t>
      </w:r>
    </w:p>
    <w:p>
      <w:pPr>
        <w:spacing w:after="80" w:before="80"/>
      </w:pPr>
      <w:r>
        <w:rPr>
          <w:rFonts w:ascii="Arial" w:cs="Arial" w:eastAsia="Arial" w:hAnsi="Arial"/>
          <w:color w:val="2C2C2A"/>
          <w:sz w:val="22"/>
          <w:szCs w:val="22"/>
        </w:rPr>
        <w:t xml:space="preserve">Only REQ-053 (episode logger) is added to the Phase I RTM from this ADR. pgvector, world model graph, playbooks, and fine-tuning are tracked here as living decisions, updated with evidence from real users — not locked into requirements before the product has shipped.</w:t>
      </w:r>
    </w:p>
    <w:p>
      <w:pPr>
        <w:pStyle w:val="Heading1"/>
        <w:spacing w:after="180" w:before="360"/>
      </w:pPr>
      <w:r>
        <w:rPr>
          <w:rFonts w:ascii="Arial" w:cs="Arial" w:eastAsia="Arial" w:hAnsi="Arial"/>
          <w:b/>
          <w:bCs/>
          <w:color w:val="2C2C2A"/>
          <w:sz w:val="32"/>
          <w:szCs w:val="32"/>
        </w:rPr>
        <w:t xml:space="preserve">4. Rejected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Approach</w:t>
            </w:r>
          </w:p>
        </w:tc>
        <w:tc>
          <w:tcPr>
            <w:tcW w:type="dxa" w:w="68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Reason rejected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Pure fine-tuning (K-17 literal)</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Wrong for multi-user product. No provenance. Static. Privacy risk on personal data.</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Standard RAG (vector chunks)</w:t>
            </w:r>
          </w:p>
        </w:tc>
        <w:tc>
          <w:tcPr>
            <w:tcW w:type="dxa" w:w="6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Chunk boundaries break cross-article reasoning. Useful as L2 retrieval layer but not the full answer.</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Context window stuffing only</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Correct bootstrapping strategy. Does not scale past ~400K words. Karpathy is at that limit now.</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Anthropic/OpenAI fine-tune API</w:t>
            </w:r>
          </w:p>
        </w:tc>
        <w:tc>
          <w:tcPr>
            <w:tcW w:type="dxa" w:w="6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Sends personal data to third-party training pipeline. Privacy risk disproportionate to benefit.</w:t>
            </w:r>
          </w:p>
        </w:tc>
      </w:tr>
    </w:tbl>
    <w:p>
      <w:pPr>
        <w:pStyle w:val="Heading1"/>
        <w:spacing w:after="180" w:before="360"/>
      </w:pPr>
      <w:r>
        <w:rPr>
          <w:rFonts w:ascii="Arial" w:cs="Arial" w:eastAsia="Arial" w:hAnsi="Arial"/>
          <w:b/>
          <w:bCs/>
          <w:color w:val="2C2C2A"/>
          <w:sz w:val="32"/>
          <w:szCs w:val="32"/>
        </w:rPr>
        <w:t xml:space="preserve">5. Consequences</w:t>
      </w:r>
    </w:p>
    <w:p>
      <w:pPr>
        <w:pStyle w:val="Heading2"/>
        <w:spacing w:after="120" w:before="280"/>
      </w:pPr>
      <w:r>
        <w:rPr>
          <w:rFonts w:ascii="Arial" w:cs="Arial" w:eastAsia="Arial" w:hAnsi="Arial"/>
          <w:b/>
          <w:bCs/>
          <w:color w:val="534AB7"/>
          <w:sz w:val="26"/>
          <w:szCs w:val="26"/>
        </w:rPr>
        <w:t xml:space="preserve">5.1 Positive</w:t>
      </w:r>
    </w:p>
    <w:p>
      <w:pPr>
        <w:pStyle w:val="ListParagraph"/>
        <w:numPr>
          <w:ilvl w:val="0"/>
          <w:numId w:val="2"/>
        </w:numPr>
        <w:spacing w:after="60" w:before="60"/>
      </w:pPr>
      <w:r>
        <w:rPr>
          <w:rFonts w:ascii="Arial" w:cs="Arial" w:eastAsia="Arial" w:hAnsi="Arial"/>
          <w:color w:val="2C2C2A"/>
          <w:sz w:val="22"/>
          <w:szCs w:val="22"/>
        </w:rPr>
        <w:t xml:space="preserve">Phase I ships with minimal additional complexity — BM25 + episode logger only</w:t>
      </w:r>
    </w:p>
    <w:p>
      <w:pPr>
        <w:pStyle w:val="ListParagraph"/>
        <w:numPr>
          <w:ilvl w:val="0"/>
          <w:numId w:val="2"/>
        </w:numPr>
        <w:spacing w:after="60" w:before="60"/>
      </w:pPr>
      <w:r>
        <w:rPr>
          <w:rFonts w:ascii="Arial" w:cs="Arial" w:eastAsia="Arial" w:hAnsi="Arial"/>
          <w:color w:val="2C2C2A"/>
          <w:sz w:val="22"/>
          <w:szCs w:val="22"/>
        </w:rPr>
        <w:t xml:space="preserve">Memory architecture grows with evidence, not speculation</w:t>
      </w:r>
    </w:p>
    <w:p>
      <w:pPr>
        <w:pStyle w:val="ListParagraph"/>
        <w:numPr>
          <w:ilvl w:val="0"/>
          <w:numId w:val="2"/>
        </w:numPr>
        <w:spacing w:after="60" w:before="60"/>
      </w:pPr>
      <w:r>
        <w:rPr>
          <w:rFonts w:ascii="Arial" w:cs="Arial" w:eastAsia="Arial" w:hAnsi="Arial"/>
          <w:color w:val="2C2C2A"/>
          <w:sz w:val="22"/>
          <w:szCs w:val="22"/>
        </w:rPr>
        <w:t xml:space="preserve">Agent maintains full provenance — every answer traceable to source article</w:t>
      </w:r>
    </w:p>
    <w:p>
      <w:pPr>
        <w:pStyle w:val="ListParagraph"/>
        <w:numPr>
          <w:ilvl w:val="0"/>
          <w:numId w:val="2"/>
        </w:numPr>
        <w:spacing w:after="60" w:before="60"/>
      </w:pPr>
      <w:r>
        <w:rPr>
          <w:rFonts w:ascii="Arial" w:cs="Arial" w:eastAsia="Arial" w:hAnsi="Arial"/>
          <w:color w:val="2C2C2A"/>
          <w:sz w:val="22"/>
          <w:szCs w:val="22"/>
        </w:rPr>
        <w:t xml:space="preserve">World model is inspectable by user ('what does ManFriday know about me?')</w:t>
      </w:r>
    </w:p>
    <w:p>
      <w:pPr>
        <w:pStyle w:val="Heading2"/>
        <w:spacing w:after="120" w:before="280"/>
      </w:pPr>
      <w:r>
        <w:rPr>
          <w:rFonts w:ascii="Arial" w:cs="Arial" w:eastAsia="Arial" w:hAnsi="Arial"/>
          <w:b/>
          <w:bCs/>
          <w:color w:val="534AB7"/>
          <w:sz w:val="26"/>
          <w:szCs w:val="26"/>
        </w:rPr>
        <w:t xml:space="preserve">5.2 Risks</w:t>
      </w:r>
    </w:p>
    <w:p>
      <w:pPr>
        <w:pStyle w:val="ListParagraph"/>
        <w:numPr>
          <w:ilvl w:val="0"/>
          <w:numId w:val="2"/>
        </w:numPr>
        <w:spacing w:after="60" w:before="60"/>
      </w:pPr>
      <w:r>
        <w:rPr>
          <w:rFonts w:ascii="Arial" w:cs="Arial" w:eastAsia="Arial" w:hAnsi="Arial"/>
          <w:color w:val="2C2C2A"/>
          <w:sz w:val="22"/>
          <w:szCs w:val="22"/>
        </w:rPr>
        <w:t xml:space="preserve">Episode logger must be reliable — missed episodes break the episodic chain</w:t>
      </w:r>
    </w:p>
    <w:p>
      <w:pPr>
        <w:pStyle w:val="ListParagraph"/>
        <w:numPr>
          <w:ilvl w:val="0"/>
          <w:numId w:val="2"/>
        </w:numPr>
        <w:spacing w:after="60" w:before="60"/>
      </w:pPr>
      <w:r>
        <w:rPr>
          <w:rFonts w:ascii="Arial" w:cs="Arial" w:eastAsia="Arial" w:hAnsi="Arial"/>
          <w:color w:val="2C2C2A"/>
          <w:sz w:val="22"/>
          <w:szCs w:val="22"/>
        </w:rPr>
        <w:t xml:space="preserve">pgvector migration (Phase II) requires re-embedding all existing wiki articles — plan migration window</w:t>
      </w:r>
    </w:p>
    <w:p>
      <w:pPr>
        <w:pStyle w:val="ListParagraph"/>
        <w:numPr>
          <w:ilvl w:val="0"/>
          <w:numId w:val="2"/>
        </w:numPr>
        <w:spacing w:after="60" w:before="60"/>
      </w:pPr>
      <w:r>
        <w:rPr>
          <w:rFonts w:ascii="Arial" w:cs="Arial" w:eastAsia="Arial" w:hAnsi="Arial"/>
          <w:color w:val="2C2C2A"/>
          <w:sz w:val="22"/>
          <w:szCs w:val="22"/>
        </w:rPr>
        <w:t xml:space="preserve">Phase II world model graph quality depends on LLM extraction accuracy — must include confidence scoring and graceful degradation to backlinks.md fallback</w:t>
      </w:r>
    </w:p>
    <w:p>
      <w:pPr>
        <w:pStyle w:val="Heading1"/>
        <w:spacing w:after="180" w:before="360"/>
      </w:pPr>
      <w:r>
        <w:rPr>
          <w:rFonts w:ascii="Arial" w:cs="Arial" w:eastAsia="Arial" w:hAnsi="Arial"/>
          <w:b/>
          <w:bCs/>
          <w:color w:val="2C2C2A"/>
          <w:sz w:val="32"/>
          <w:szCs w:val="32"/>
        </w:rPr>
        <w:t xml:space="preserve">6. Review Trigger</w:t>
      </w:r>
    </w:p>
    <w:p>
      <w:pPr>
        <w:spacing w:after="80" w:before="80"/>
      </w:pPr>
      <w:r>
        <w:rPr>
          <w:rFonts w:ascii="Arial" w:cs="Arial" w:eastAsia="Arial" w:hAnsi="Arial"/>
          <w:color w:val="2C2C2A"/>
          <w:sz w:val="22"/>
          <w:szCs w:val="22"/>
        </w:rPr>
        <w:t xml:space="preserve">Revisit this ADR after first 50 active users. Specific signals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Signal</w:t>
            </w:r>
          </w:p>
        </w:tc>
        <w:tc>
          <w:tcPr>
            <w:tcW w:type="dxa" w:w="58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Action</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Users report search returns irrelevant results</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Accelerate pgvector migration</w:t>
            </w:r>
          </w:p>
        </w:tc>
      </w:tr>
      <w:tr>
        <w:tc>
          <w:tcPr>
            <w:tcW w:type="dxa" w:w="3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Users ask 'do you remember when I asked about X?'</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Validate episode logger is working; surface episodic context more prominently</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articles contain factual errors from graph extraction</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Add confidence gating to world model Phase II</w:t>
            </w:r>
          </w:p>
        </w:tc>
      </w:tr>
      <w:tr>
        <w:tc>
          <w:tcPr>
            <w:tcW w:type="dxa" w:w="3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Power users with 500+ articles appear</w:t>
            </w:r>
          </w:p>
        </w:tc>
        <w:tc>
          <w:tcPr>
            <w:tcW w:type="dxa" w:w="58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Begin Phase III fine-tuning evaluation</w:t>
            </w:r>
          </w:p>
        </w:tc>
      </w:tr>
      <w:tr>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False positive rate on suppressed sources &gt; 15%</w:t>
            </w:r>
          </w:p>
        </w:tc>
        <w:tc>
          <w:tcPr>
            <w:tcW w:type="dxa" w:w="5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Lower quality threshold or add source-specific overrides (ADR-002)</w:t>
            </w:r>
          </w:p>
        </w:tc>
      </w:tr>
    </w:tbl>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Owner: Venkata  |  Next review: after 50 active users  |  Supersedes: none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ADR-001: Memory Architecture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2026-04-05T16:12:05.979Z</dcterms:created>
  <dcterms:modified xsi:type="dcterms:W3CDTF">2026-04-05T16:12:05.981Z</dcterms:modified>
</cp:coreProperties>
</file>

<file path=docProps/custom.xml><?xml version="1.0" encoding="utf-8"?>
<Properties xmlns="http://schemas.openxmlformats.org/officeDocument/2006/custom-properties" xmlns:vt="http://schemas.openxmlformats.org/officeDocument/2006/docPropsVTypes"/>
</file>