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360"/>
              <w:left w:type="dxa" w:w="480"/>
              <w:bottom w:type="dxa" w:w="360"/>
              <w:right w:type="dxa" w:w="480"/>
            </w:tcMar>
          </w:tcPr>
          <w:p>
            <w:pPr>
              <w:spacing w:after="100" w:before="0"/>
              <w:jc w:val="center"/>
            </w:pPr>
            <w:r>
              <w:rPr>
                <w:rFonts w:ascii="Arial" w:cs="Arial" w:eastAsia="Arial" w:hAnsi="Arial"/>
                <w:b/>
                <w:bCs/>
                <w:color w:val="FFFFFF"/>
                <w:sz w:val="48"/>
                <w:szCs w:val="48"/>
              </w:rPr>
              <w:t xml:space="preserve">CIS FRAUD DETECTION</w:t>
            </w:r>
          </w:p>
          <w:p>
            <w:pPr>
              <w:spacing w:after="100" w:before="0"/>
              <w:jc w:val="center"/>
            </w:pPr>
            <w:r>
              <w:rPr>
                <w:rFonts w:ascii="Arial" w:cs="Arial" w:eastAsia="Arial" w:hAnsi="Arial"/>
                <w:i/>
                <w:iCs/>
                <w:color w:val="BDD7EE"/>
                <w:sz w:val="24"/>
                <w:szCs w:val="24"/>
              </w:rPr>
              <w:t xml:space="preserve">Machine Learning Project — Portfolio &amp; Interview Review Document</w:t>
            </w:r>
          </w:p>
          <w:p>
            <w:pPr>
              <w:spacing w:after="0" w:before="100"/>
              <w:jc w:val="center"/>
            </w:pPr>
            <w:r>
              <w:rPr>
                <w:rFonts w:ascii="Arial" w:cs="Arial" w:eastAsia="Arial" w:hAnsi="Arial"/>
                <w:color w:val="9DC3E6"/>
                <w:sz w:val="20"/>
                <w:szCs w:val="20"/>
              </w:rPr>
              <w:t xml:space="preserve">IEEE-CIS Fraud Detection  |  XGBoost  |  sklearn Pipeline  |  Kaggle Public AUC: 0.9226  |  Private AUC: 0.8901</w:t>
            </w:r>
          </w:p>
        </w:tc>
      </w:tr>
    </w:tbl>
    <w:p>
      <w:pPr>
        <w:spacing w:after="0" w:before="200"/>
      </w:pPr>
      <w:r>
        <w:t xml:space="preserv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1. Problem Statement</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The Business Problem</w:t>
      </w:r>
    </w:p>
    <w:p>
      <w:pPr>
        <w:spacing w:after="100" w:before="60"/>
      </w:pPr>
      <w:r>
        <w:rPr>
          <w:rFonts w:ascii="Arial" w:cs="Arial" w:eastAsia="Arial" w:hAnsi="Arial"/>
          <w:color w:val="222222"/>
          <w:sz w:val="22"/>
          <w:szCs w:val="22"/>
        </w:rPr>
        <w:t xml:space="preserve">Credit card fraud costs the global financial industry tens of billions of dollars annually. Every fraudulent transaction represents a direct financial loss to the issuing bank, the merchant, and ultimately the customer. At the same time, flagging a legitimate transaction as fraud freezes the customer's card, creates friction, damages trust, and risks losing the customer entirely.</w:t>
      </w:r>
    </w:p>
    <w:p>
      <w:pPr>
        <w:spacing w:after="0" w:before="40"/>
      </w:pPr>
      <w:r>
        <w:t xml:space="preserve"/>
      </w:r>
    </w:p>
    <w:p>
      <w:pPr>
        <w:spacing w:after="100" w:before="60"/>
      </w:pPr>
      <w:r>
        <w:rPr>
          <w:rFonts w:ascii="Arial" w:cs="Arial" w:eastAsia="Arial" w:hAnsi="Arial"/>
          <w:color w:val="222222"/>
          <w:sz w:val="22"/>
          <w:szCs w:val="22"/>
        </w:rPr>
        <w:t xml:space="preserve">The core challenge is therefore not simply detecting fraud — it is detecting fraud accurately enough to be actionable without generating so many false alarms that the detection system itself becomes a liability.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The Business Question</w:t>
            </w:r>
          </w:p>
          <w:p>
            <w:pPr>
              <w:spacing w:after="0" w:before="0"/>
            </w:pPr>
            <w:r>
              <w:rPr>
                <w:rFonts w:ascii="Arial" w:cs="Arial" w:eastAsia="Arial" w:hAnsi="Arial"/>
                <w:color w:val="222222"/>
                <w:sz w:val="21"/>
                <w:szCs w:val="21"/>
              </w:rPr>
              <w:t xml:space="preserve">Given a financial transaction — the amount, the card used, the device, the email domain, and hundreds of other signals — can we predict whether it is fraudulent before it is approved, with enough confidence to take automated action?</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Why This Is Difficult</w:t>
      </w:r>
    </w:p>
    <w:p>
      <w:pPr>
        <w:pStyle w:val="ListParagraph"/>
        <w:numPr>
          <w:ilvl w:val="0"/>
          <w:numId w:val="2"/>
        </w:numPr>
        <w:spacing w:after="60" w:before="40"/>
      </w:pPr>
      <w:r>
        <w:rPr>
          <w:rFonts w:ascii="Arial" w:cs="Arial" w:eastAsia="Arial" w:hAnsi="Arial"/>
          <w:color w:val="222222"/>
          <w:sz w:val="22"/>
          <w:szCs w:val="22"/>
        </w:rPr>
        <w:t xml:space="preserve">Extreme imbalance: only 3.5% of transactions in this dataset are fraudulent. A model that predicts 'always legitimate' achieves 96.5% accuracy while catching zero fraud. Accuracy is therefore a meaningless metric here.</w:t>
      </w:r>
    </w:p>
    <w:p>
      <w:pPr>
        <w:pStyle w:val="ListParagraph"/>
        <w:numPr>
          <w:ilvl w:val="0"/>
          <w:numId w:val="2"/>
        </w:numPr>
        <w:spacing w:after="60" w:before="40"/>
      </w:pPr>
      <w:r>
        <w:rPr>
          <w:rFonts w:ascii="Arial" w:cs="Arial" w:eastAsia="Arial" w:hAnsi="Arial"/>
          <w:color w:val="222222"/>
          <w:sz w:val="22"/>
          <w:szCs w:val="22"/>
        </w:rPr>
        <w:t xml:space="preserve">Fraudsters adapt: patterns that identify fraud today may not hold tomorrow. The model must generalise to genuinely new fraud patterns, not just memorise the training data.</w:t>
      </w:r>
    </w:p>
    <w:p>
      <w:pPr>
        <w:pStyle w:val="ListParagraph"/>
        <w:numPr>
          <w:ilvl w:val="0"/>
          <w:numId w:val="2"/>
        </w:numPr>
        <w:spacing w:after="60" w:before="40"/>
      </w:pPr>
      <w:r>
        <w:rPr>
          <w:rFonts w:ascii="Arial" w:cs="Arial" w:eastAsia="Arial" w:hAnsi="Arial"/>
          <w:color w:val="222222"/>
          <w:sz w:val="22"/>
          <w:szCs w:val="22"/>
        </w:rPr>
        <w:t xml:space="preserve">Asymmetric cost: missing a fraud (false negative) costs real money. Wrongly flagging a legitimate transaction (false positive) costs customer goodwill. These costs are not equal and the model must be tuned to reflect the business's risk appetite.</w:t>
      </w:r>
    </w:p>
    <w:p>
      <w:pPr>
        <w:pStyle w:val="ListParagraph"/>
        <w:numPr>
          <w:ilvl w:val="0"/>
          <w:numId w:val="2"/>
        </w:numPr>
        <w:spacing w:after="60" w:before="40"/>
      </w:pPr>
      <w:r>
        <w:rPr>
          <w:rFonts w:ascii="Arial" w:cs="Arial" w:eastAsia="Arial" w:hAnsi="Arial"/>
          <w:color w:val="222222"/>
          <w:sz w:val="22"/>
          <w:szCs w:val="22"/>
        </w:rPr>
        <w:t xml:space="preserve">No test labels: Kaggle withholds the labels on the test set entirely. You cannot evaluate on test data locally — your validation methodology must be rigorous enough to trust before you ever see the test score.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IEEE-CIS Fraud Detection — Kaggle Competition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Training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590,540 transactions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Test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506,691 transactions (no labels)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Raw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394 columns across transaction and identity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Target variable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isFraud (binary: 0 = legitimate, 1 = fraud)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Fraud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 of training transactions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Time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Approximately 6 months of real e-commerce transactions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339 anonymised features (PCA-reduced for privacy by the data provider)</w:t>
            </w:r>
          </w:p>
        </w:tc>
      </w:tr>
    </w:tbl>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2. Approach &amp; Rationale</w:t>
      </w:r>
    </w:p>
    <w:p>
      <w:pPr>
        <w:spacing w:after="0" w:before="60"/>
      </w:pPr>
      <w:r>
        <w:t xml:space="preserve"/>
      </w:r>
    </w:p>
    <w:p>
      <w:pPr>
        <w:spacing w:after="100" w:before="60"/>
      </w:pPr>
      <w:r>
        <w:rPr>
          <w:rFonts w:ascii="Arial" w:cs="Arial" w:eastAsia="Arial" w:hAnsi="Arial"/>
          <w:color w:val="222222"/>
          <w:sz w:val="22"/>
          <w:szCs w:val="22"/>
        </w:rPr>
        <w:t xml:space="preserve">The project was structured around three principles: no data leakage, full reproducibility, and production-readiness. Every decision in the pipeline was made with the question: would this work correctly on data the model has never seen?</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2.1  Data Split Strategy</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The training file was split into a training set (80%) and a validation set (20%). The Kaggle test file was treated as entirely separate and never used in any fitting decision. Stratified splitting was used throughout to preserve the 3.5% fraud rate in every subset.</w:t>
      </w:r>
    </w:p>
    <w:p>
      <w:pPr>
        <w:spacing w:after="0" w:before="60"/>
      </w:pPr>
      <w:r>
        <w:t xml:space="preserve"/>
      </w:r>
    </w:p>
    <w:p>
      <w:pPr>
        <w:pStyle w:val="Heading3"/>
        <w:spacing w:after="80" w:before="180"/>
      </w:pPr>
      <w:r>
        <w:rPr>
          <w:rFonts w:ascii="Arial" w:cs="Arial" w:eastAsia="Arial" w:hAnsi="Arial"/>
          <w:b/>
          <w:bCs/>
          <w:color w:val="404040"/>
          <w:sz w:val="24"/>
          <w:szCs w:val="24"/>
        </w:rPr>
        <w:t xml:space="preserve">Why — the business rationale</w:t>
      </w:r>
    </w:p>
    <w:p>
      <w:pPr>
        <w:pStyle w:val="ListParagraph"/>
        <w:numPr>
          <w:ilvl w:val="0"/>
          <w:numId w:val="2"/>
        </w:numPr>
        <w:spacing w:after="60" w:before="40"/>
      </w:pPr>
      <w:r>
        <w:rPr>
          <w:rFonts w:ascii="Arial" w:cs="Arial" w:eastAsia="Arial" w:hAnsi="Arial"/>
          <w:color w:val="222222"/>
          <w:sz w:val="22"/>
          <w:szCs w:val="22"/>
        </w:rPr>
        <w:t xml:space="preserve">A separate validation set is the practice exam before the real exam. Every modelling decision — which algorithm to use, how deep to make the trees, which features to include — was made by evaluating performance on validation data, never on test data.</w:t>
      </w:r>
    </w:p>
    <w:p>
      <w:pPr>
        <w:pStyle w:val="ListParagraph"/>
        <w:numPr>
          <w:ilvl w:val="0"/>
          <w:numId w:val="2"/>
        </w:numPr>
        <w:spacing w:after="60" w:before="40"/>
      </w:pPr>
      <w:r>
        <w:rPr>
          <w:rFonts w:ascii="Arial" w:cs="Arial" w:eastAsia="Arial" w:hAnsi="Arial"/>
          <w:color w:val="222222"/>
          <w:sz w:val="22"/>
          <w:szCs w:val="22"/>
        </w:rPr>
        <w:t xml:space="preserve">If test data influences any modelling decision, it is no longer a blind evaluation. The reported score would be optimistic and the model would underperform in production on genuinely new transactions.</w:t>
      </w:r>
    </w:p>
    <w:p>
      <w:pPr>
        <w:pStyle w:val="ListParagraph"/>
        <w:numPr>
          <w:ilvl w:val="0"/>
          <w:numId w:val="2"/>
        </w:numPr>
        <w:spacing w:after="60" w:before="40"/>
      </w:pPr>
      <w:r>
        <w:rPr>
          <w:rFonts w:ascii="Arial" w:cs="Arial" w:eastAsia="Arial" w:hAnsi="Arial"/>
          <w:color w:val="222222"/>
          <w:sz w:val="22"/>
          <w:szCs w:val="22"/>
        </w:rPr>
        <w:t xml:space="preserve">Stratified splitting ensures the fraud-to-legitimate ratio is preserved. Without this, one split could randomly end up with 1% fraud and another with 6%, making cross-split comparisons meaningless.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0"/>
                <w:szCs w:val="20"/>
              </w:rPr>
              <w:t xml:space="preserve">The Analogy</w:t>
            </w:r>
          </w:p>
          <w:p>
            <w:pPr>
              <w:spacing w:after="0" w:before="0"/>
            </w:pPr>
            <w:r>
              <w:rPr>
                <w:rFonts w:ascii="Arial" w:cs="Arial" w:eastAsia="Arial" w:hAnsi="Arial"/>
                <w:color w:val="222222"/>
                <w:sz w:val="21"/>
                <w:szCs w:val="21"/>
              </w:rPr>
              <w:t xml:space="preserve">Training data is the textbook. Validation data is the practice exam you use to decide which topics to study harder. Test data is the final exam — you only sit it once, and you never change your study plan based on it.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Preprocessing Pipeline</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All data cleaning and transformation steps were consolidated into a single sklearn Pipeline object containing five sequential steps. The pipeline is fitted exclusively on training data and applied identically to validation and test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 Step</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Learns from Training</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Must Be Separate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Drop High-Missing Columns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Which columns exceed 70% nulls in training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set null rates differ; decision must be fixed from training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V-Column PCA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Medians, mean/std, and 59 principal components from 339 V-columns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PCA direction learned from test data would create an incompatible coordinate space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Numerical Imputer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Which columns had nulls and binary flag columns to create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Flag columns must match exactly between train and 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 Converter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Minimum TransactionDT value from training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Using test minimum shifts all dates to a different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Categorical Encoder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Label maps for low-cardinality; frequency counts for high-cardinality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Encoding maps from test data would assign different integers to the same categories</w:t>
            </w:r>
          </w:p>
        </w:tc>
      </w:tr>
    </w:tbl>
    <w:p>
      <w:pPr>
        <w:spacing w:after="0" w:before="80"/>
      </w:pPr>
      <w:r>
        <w:t xml:space="preserve"/>
      </w:r>
    </w:p>
    <w:p>
      <w:pPr>
        <w:pStyle w:val="Heading3"/>
        <w:spacing w:after="80" w:before="180"/>
      </w:pPr>
      <w:r>
        <w:rPr>
          <w:rFonts w:ascii="Arial" w:cs="Arial" w:eastAsia="Arial" w:hAnsi="Arial"/>
          <w:b/>
          <w:bCs/>
          <w:color w:val="404040"/>
          <w:sz w:val="24"/>
          <w:szCs w:val="24"/>
        </w:rPr>
        <w:t xml:space="preserve">Why a Pipeline — the business rationale</w:t>
      </w:r>
    </w:p>
    <w:p>
      <w:pPr>
        <w:pStyle w:val="ListParagraph"/>
        <w:numPr>
          <w:ilvl w:val="0"/>
          <w:numId w:val="2"/>
        </w:numPr>
        <w:spacing w:after="60" w:before="40"/>
      </w:pPr>
      <w:r>
        <w:rPr>
          <w:rFonts w:ascii="Arial" w:cs="Arial" w:eastAsia="Arial" w:hAnsi="Arial"/>
          <w:color w:val="222222"/>
          <w:sz w:val="22"/>
          <w:szCs w:val="22"/>
        </w:rPr>
        <w:t xml:space="preserve">The single most common and costly error in ML projects is data leakage: when information from test or validation data accidentally influences the training process. A Pipeline makes this structurally impossible — it enforces that fit() is called once, on training data only.</w:t>
      </w:r>
    </w:p>
    <w:p>
      <w:pPr>
        <w:pStyle w:val="ListParagraph"/>
        <w:numPr>
          <w:ilvl w:val="0"/>
          <w:numId w:val="2"/>
        </w:numPr>
        <w:spacing w:after="60" w:before="40"/>
      </w:pPr>
      <w:r>
        <w:rPr>
          <w:rFonts w:ascii="Arial" w:cs="Arial" w:eastAsia="Arial" w:hAnsi="Arial"/>
          <w:color w:val="222222"/>
          <w:sz w:val="22"/>
          <w:szCs w:val="22"/>
        </w:rPr>
        <w:t xml:space="preserve">The pipeline can be saved as a single file (.pkl) and loaded in any environment — a production server, a batch scoring job, a new notebook. The entire cleaning logic travels with the model.</w:t>
      </w:r>
    </w:p>
    <w:p>
      <w:pPr>
        <w:pStyle w:val="ListParagraph"/>
        <w:numPr>
          <w:ilvl w:val="0"/>
          <w:numId w:val="2"/>
        </w:numPr>
        <w:spacing w:after="60" w:before="40"/>
      </w:pPr>
      <w:r>
        <w:rPr>
          <w:rFonts w:ascii="Arial" w:cs="Arial" w:eastAsia="Arial" w:hAnsi="Arial"/>
          <w:color w:val="222222"/>
          <w:sz w:val="22"/>
          <w:szCs w:val="22"/>
        </w:rPr>
        <w:t xml:space="preserve">Any future transaction — received tomorrow, next year, or in a different country — is cleaned using the exact same parameters learned from the original training data. There is no ambiguity about how to preprocess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60" w:before="0"/>
            </w:pPr>
            <w:r>
              <w:rPr>
                <w:rFonts w:ascii="Arial" w:cs="Arial" w:eastAsia="Arial" w:hAnsi="Arial"/>
                <w:b/>
                <w:bCs/>
                <w:color w:val="7F5A00"/>
                <w:sz w:val="20"/>
                <w:szCs w:val="20"/>
              </w:rPr>
              <w:t xml:space="preserve">Key Insight: fit() vs transform()</w:t>
            </w:r>
          </w:p>
          <w:p>
            <w:pPr>
              <w:spacing w:after="0" w:before="0"/>
            </w:pPr>
            <w:r>
              <w:rPr>
                <w:rFonts w:ascii="Arial" w:cs="Arial" w:eastAsia="Arial" w:hAnsi="Arial"/>
                <w:color w:val="222222"/>
                <w:sz w:val="21"/>
                <w:szCs w:val="21"/>
              </w:rPr>
              <w:t xml:space="preserve">fit() is the government commissioning a study and writing the law based on what it finds. transform() is applying that law to every citizen going forward. The law is written once from the population it studied. New citizens are subject to the same law — they do not get to rewrite it.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Handling the V-Columns — PCA</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The dataset contains 339 V-columns (V001 to V339), which are anonymised features provided in an already-encoded form by the data owner. These 339 columns were reduced to 59 principal components that collectively explain 90% of the variance in the training data.</w:t>
      </w:r>
    </w:p>
    <w:p>
      <w:pPr>
        <w:spacing w:after="0" w:before="60"/>
      </w:pPr>
      <w:r>
        <w:t xml:space="preserve"/>
      </w:r>
    </w:p>
    <w:p>
      <w:pPr>
        <w:pStyle w:val="Heading3"/>
        <w:spacing w:after="80" w:before="180"/>
      </w:pPr>
      <w:r>
        <w:rPr>
          <w:rFonts w:ascii="Arial" w:cs="Arial" w:eastAsia="Arial" w:hAnsi="Arial"/>
          <w:b/>
          <w:bCs/>
          <w:color w:val="404040"/>
          <w:sz w:val="24"/>
          <w:szCs w:val="24"/>
        </w:rPr>
        <w:t xml:space="preserve">Why — the business rationale</w:t>
      </w:r>
    </w:p>
    <w:p>
      <w:pPr>
        <w:pStyle w:val="ListParagraph"/>
        <w:numPr>
          <w:ilvl w:val="0"/>
          <w:numId w:val="2"/>
        </w:numPr>
        <w:spacing w:after="60" w:before="40"/>
      </w:pPr>
      <w:r>
        <w:rPr>
          <w:rFonts w:ascii="Arial" w:cs="Arial" w:eastAsia="Arial" w:hAnsi="Arial"/>
          <w:color w:val="222222"/>
          <w:sz w:val="22"/>
          <w:szCs w:val="22"/>
        </w:rPr>
        <w:t xml:space="preserve">339 columns of similar, correlated data create computational overhead and can confuse models through multicollinearity — where multiple columns say the same thing and the model cannot determine which is truly predictive.</w:t>
      </w:r>
    </w:p>
    <w:p>
      <w:pPr>
        <w:pStyle w:val="ListParagraph"/>
        <w:numPr>
          <w:ilvl w:val="0"/>
          <w:numId w:val="2"/>
        </w:numPr>
        <w:spacing w:after="60" w:before="40"/>
      </w:pPr>
      <w:r>
        <w:rPr>
          <w:rFonts w:ascii="Arial" w:cs="Arial" w:eastAsia="Arial" w:hAnsi="Arial"/>
          <w:color w:val="222222"/>
          <w:sz w:val="22"/>
          <w:szCs w:val="22"/>
        </w:rPr>
        <w:t xml:space="preserve">PCA finds the directions of maximum variance — the combinations of V-columns that carry the most signal — and discards the rest. 59 components retaining 90% of variance means 84% fewer columns with almost no information loss.</w:t>
      </w:r>
    </w:p>
    <w:p>
      <w:pPr>
        <w:pStyle w:val="ListParagraph"/>
        <w:numPr>
          <w:ilvl w:val="0"/>
          <w:numId w:val="2"/>
        </w:numPr>
        <w:spacing w:after="60" w:before="40"/>
      </w:pPr>
      <w:r>
        <w:rPr>
          <w:rFonts w:ascii="Arial" w:cs="Arial" w:eastAsia="Arial" w:hAnsi="Arial"/>
          <w:color w:val="222222"/>
          <w:sz w:val="22"/>
          <w:szCs w:val="22"/>
        </w:rPr>
        <w:t xml:space="preserve">The 90% variance threshold was chosen deliberately: below 85% risks losing meaningful fraud signals; above 95% brings back most of the noise we were trying to remove.</w:t>
      </w:r>
    </w:p>
    <w:p>
      <w:pPr>
        <w:pStyle w:val="ListParagraph"/>
        <w:numPr>
          <w:ilvl w:val="0"/>
          <w:numId w:val="2"/>
        </w:numPr>
        <w:spacing w:after="60" w:before="40"/>
      </w:pPr>
      <w:r>
        <w:rPr>
          <w:rFonts w:ascii="Arial" w:cs="Arial" w:eastAsia="Arial" w:hAnsi="Arial"/>
          <w:color w:val="222222"/>
          <w:sz w:val="22"/>
          <w:szCs w:val="22"/>
        </w:rPr>
        <w:t xml:space="preserve">The imputer medians and scaler parameters are learned from training data only. On test data, the exact same medians and scaling are applied — ensuring V-column transformations are consistent across all data seen by the model.</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2.4  Handling Missing Data</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Columns with more than 70% missing values were dropped entirely. For remaining numerical columns with any missing values, a binary indicator column (col_is_nan) was added and the missing values were filled with -999. Categorical missing values were filled with the string 'Unknown'.</w:t>
      </w:r>
    </w:p>
    <w:p>
      <w:pPr>
        <w:spacing w:after="0" w:before="60"/>
      </w:pPr>
      <w:r>
        <w:t xml:space="preserve"/>
      </w:r>
    </w:p>
    <w:p>
      <w:pPr>
        <w:pStyle w:val="Heading3"/>
        <w:spacing w:after="80" w:before="180"/>
      </w:pPr>
      <w:r>
        <w:rPr>
          <w:rFonts w:ascii="Arial" w:cs="Arial" w:eastAsia="Arial" w:hAnsi="Arial"/>
          <w:b/>
          <w:bCs/>
          <w:color w:val="404040"/>
          <w:sz w:val="24"/>
          <w:szCs w:val="24"/>
        </w:rPr>
        <w:t xml:space="preserve">Why — the business rationale</w:t>
      </w:r>
    </w:p>
    <w:p>
      <w:pPr>
        <w:pStyle w:val="ListParagraph"/>
        <w:numPr>
          <w:ilvl w:val="0"/>
          <w:numId w:val="2"/>
        </w:numPr>
        <w:spacing w:after="60" w:before="40"/>
      </w:pPr>
      <w:r>
        <w:rPr>
          <w:rFonts w:ascii="Arial" w:cs="Arial" w:eastAsia="Arial" w:hAnsi="Arial"/>
          <w:color w:val="222222"/>
          <w:sz w:val="22"/>
          <w:szCs w:val="22"/>
        </w:rPr>
        <w:t xml:space="preserve">A column that is 70% empty cannot provide reliable signal. More importantly, the 30% of values that do exist are likely not representative of the full population — the pattern of missingness itself may be informative (fraudsters often withhold information), but the values are not.</w:t>
      </w:r>
    </w:p>
    <w:p>
      <w:pPr>
        <w:pStyle w:val="ListParagraph"/>
        <w:numPr>
          <w:ilvl w:val="0"/>
          <w:numId w:val="2"/>
        </w:numPr>
        <w:spacing w:after="60" w:before="40"/>
      </w:pPr>
      <w:r>
        <w:rPr>
          <w:rFonts w:ascii="Arial" w:cs="Arial" w:eastAsia="Arial" w:hAnsi="Arial"/>
          <w:color w:val="222222"/>
          <w:sz w:val="22"/>
          <w:szCs w:val="22"/>
        </w:rPr>
        <w:t xml:space="preserve">Filling with -999 rather than the mean or median is a deliberate choice. -999 is far outside the natural range of any financial metric, so the model learns to treat it as a distinct category: 'this field was not provided.' Filling with the mean would make missing values look like average values — losing the information that they were missing at all.</w:t>
      </w:r>
    </w:p>
    <w:p>
      <w:pPr>
        <w:pStyle w:val="ListParagraph"/>
        <w:numPr>
          <w:ilvl w:val="0"/>
          <w:numId w:val="2"/>
        </w:numPr>
        <w:spacing w:after="60" w:before="40"/>
      </w:pPr>
      <w:r>
        <w:rPr>
          <w:rFonts w:ascii="Arial" w:cs="Arial" w:eastAsia="Arial" w:hAnsi="Arial"/>
          <w:color w:val="222222"/>
          <w:sz w:val="22"/>
          <w:szCs w:val="22"/>
        </w:rPr>
        <w:t xml:space="preserve">The binary is_nan flag captures the missingness pattern explicitly. In fraud detection, the absence of a device ID or an IP address is often more informative than the value itself — fraudsters frequently hide identifying information. The flag lets the model learn from this pattern directly.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2.5  Categorical Encoding</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Categorical columns were split into two groups based on cardinality. Columns with 5 or fewer unique values (low-cardinality: card type, product category) received label encoding. Columns with more than 5 unique values (high-cardinality: email domain, device type) received frequency encoding.</w:t>
      </w:r>
    </w:p>
    <w:p>
      <w:pPr>
        <w:spacing w:after="0" w:before="60"/>
      </w:pPr>
      <w:r>
        <w:t xml:space="preserve"/>
      </w:r>
    </w:p>
    <w:p>
      <w:pPr>
        <w:pStyle w:val="Heading3"/>
        <w:spacing w:after="80" w:before="180"/>
      </w:pPr>
      <w:r>
        <w:rPr>
          <w:rFonts w:ascii="Arial" w:cs="Arial" w:eastAsia="Arial" w:hAnsi="Arial"/>
          <w:b/>
          <w:bCs/>
          <w:color w:val="404040"/>
          <w:sz w:val="24"/>
          <w:szCs w:val="24"/>
        </w:rPr>
        <w:t xml:space="preserve">Why — the business rationale</w:t>
      </w:r>
    </w:p>
    <w:p>
      <w:pPr>
        <w:pStyle w:val="ListParagraph"/>
        <w:numPr>
          <w:ilvl w:val="0"/>
          <w:numId w:val="2"/>
        </w:numPr>
        <w:spacing w:after="60" w:before="40"/>
      </w:pPr>
      <w:r>
        <w:rPr>
          <w:rFonts w:ascii="Arial" w:cs="Arial" w:eastAsia="Arial" w:hAnsi="Arial"/>
          <w:color w:val="222222"/>
          <w:sz w:val="22"/>
          <w:szCs w:val="22"/>
        </w:rPr>
        <w:t xml:space="preserve">Tree-based models like XGBoost cannot process text. Every categorical value must become a number. The question is which number to assign.</w:t>
      </w:r>
    </w:p>
    <w:p>
      <w:pPr>
        <w:pStyle w:val="ListParagraph"/>
        <w:numPr>
          <w:ilvl w:val="0"/>
          <w:numId w:val="2"/>
        </w:numPr>
        <w:spacing w:after="60" w:before="40"/>
      </w:pPr>
      <w:r>
        <w:rPr>
          <w:rFonts w:ascii="Arial" w:cs="Arial" w:eastAsia="Arial" w:hAnsi="Arial"/>
          <w:color w:val="222222"/>
          <w:sz w:val="22"/>
          <w:szCs w:val="22"/>
        </w:rPr>
        <w:t xml:space="preserve">For low-cardinality columns (e.g. Visa / Mastercard / Amex / Discover), simple label encoding (0/1/2/3) is appropriate. There are few categories and the model can learn the relationship between each integer and the fraud rate.</w:t>
      </w:r>
    </w:p>
    <w:p>
      <w:pPr>
        <w:pStyle w:val="ListParagraph"/>
        <w:numPr>
          <w:ilvl w:val="0"/>
          <w:numId w:val="2"/>
        </w:numPr>
        <w:spacing w:after="60" w:before="40"/>
      </w:pPr>
      <w:r>
        <w:rPr>
          <w:rFonts w:ascii="Arial" w:cs="Arial" w:eastAsia="Arial" w:hAnsi="Arial"/>
          <w:color w:val="222222"/>
          <w:sz w:val="22"/>
          <w:szCs w:val="22"/>
        </w:rPr>
        <w:t xml:space="preserve">For high-cardinality columns like email domain, label encoding would assign arbitrary integers (gmail.com = 0, yahoo.com = 1, ...) with no meaningful ordering. Frequency encoding replaces each category with how many times it appeared in training. This gives the model a meaningful signal: rare domains may indicate throwaway accounts associated with fraud, while high-frequency domains indicate common legitimate providers.</w:t>
      </w:r>
    </w:p>
    <w:p>
      <w:pPr>
        <w:pStyle w:val="ListParagraph"/>
        <w:numPr>
          <w:ilvl w:val="0"/>
          <w:numId w:val="2"/>
        </w:numPr>
        <w:spacing w:after="60" w:before="40"/>
      </w:pPr>
      <w:r>
        <w:rPr>
          <w:rFonts w:ascii="Arial" w:cs="Arial" w:eastAsia="Arial" w:hAnsi="Arial"/>
          <w:color w:val="222222"/>
          <w:sz w:val="22"/>
          <w:szCs w:val="22"/>
        </w:rPr>
        <w:t xml:space="preserve">Unseen categories in test data (a domain that never appeared in training) map to 0 — effectively treated as 'unknown / rare' rather than causing an error. This is critical for production reliability.</w:t>
      </w:r>
    </w:p>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3. Model Selection &amp; Tuning</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3.1  Algorithm Choice — XGBoost over Random Forest</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Both Random Forest and XGBoost were trained with default parameters on the cleaned training data and evaluated on the validation set. XGBoost was selected as the primary model and tuned through hyperparameter search.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Validation AUC (Baseline)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Random Forest (100 trees, max_depth=10)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~0.891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XGBoost (100 trees, lr=0.1, max_depth=6)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~0.924</w:t>
            </w:r>
          </w:p>
        </w:tc>
      </w:tr>
    </w:tbl>
    <w:p>
      <w:pPr>
        <w:spacing w:after="0" w:before="80"/>
      </w:pPr>
      <w:r>
        <w:t xml:space="preserve"/>
      </w:r>
    </w:p>
    <w:p>
      <w:pPr>
        <w:pStyle w:val="Heading3"/>
        <w:spacing w:after="80" w:before="180"/>
      </w:pPr>
      <w:r>
        <w:rPr>
          <w:rFonts w:ascii="Arial" w:cs="Arial" w:eastAsia="Arial" w:hAnsi="Arial"/>
          <w:b/>
          <w:bCs/>
          <w:color w:val="404040"/>
          <w:sz w:val="24"/>
          <w:szCs w:val="24"/>
        </w:rPr>
        <w:t xml:space="preserve">Why XGBoost — the business rationale</w:t>
      </w:r>
    </w:p>
    <w:p>
      <w:pPr>
        <w:pStyle w:val="ListParagraph"/>
        <w:numPr>
          <w:ilvl w:val="0"/>
          <w:numId w:val="2"/>
        </w:numPr>
        <w:spacing w:after="60" w:before="40"/>
      </w:pPr>
      <w:r>
        <w:rPr>
          <w:rFonts w:ascii="Arial" w:cs="Arial" w:eastAsia="Arial" w:hAnsi="Arial"/>
          <w:color w:val="222222"/>
          <w:sz w:val="22"/>
          <w:szCs w:val="22"/>
        </w:rPr>
        <w:t xml:space="preserve">Random Forest builds trees independently and takes a majority vote. Each tree makes its own mistakes, and the vote averages them — but similar trees make similar mistakes.</w:t>
      </w:r>
    </w:p>
    <w:p>
      <w:pPr>
        <w:pStyle w:val="ListParagraph"/>
        <w:numPr>
          <w:ilvl w:val="0"/>
          <w:numId w:val="2"/>
        </w:numPr>
        <w:spacing w:after="60" w:before="40"/>
      </w:pPr>
      <w:r>
        <w:rPr>
          <w:rFonts w:ascii="Arial" w:cs="Arial" w:eastAsia="Arial" w:hAnsi="Arial"/>
          <w:color w:val="222222"/>
          <w:sz w:val="22"/>
          <w:szCs w:val="22"/>
        </w:rPr>
        <w:t xml:space="preserve">XGBoost is a boosting algorithm: each new tree specifically studies the errors made by all previous trees and tries to correct them. Tree 2 is a specialist in what Tree 1 got wrong. This sequential error correction is fundamentally more powerful for complex tabular data.</w:t>
      </w:r>
    </w:p>
    <w:p>
      <w:pPr>
        <w:pStyle w:val="ListParagraph"/>
        <w:numPr>
          <w:ilvl w:val="0"/>
          <w:numId w:val="2"/>
        </w:numPr>
        <w:spacing w:after="60" w:before="40"/>
      </w:pPr>
      <w:r>
        <w:rPr>
          <w:rFonts w:ascii="Arial" w:cs="Arial" w:eastAsia="Arial" w:hAnsi="Arial"/>
          <w:color w:val="222222"/>
          <w:sz w:val="22"/>
          <w:szCs w:val="22"/>
        </w:rPr>
        <w:t xml:space="preserve">Fraud patterns in this dataset are heterogeneous — different fraud types require different rules. Boosting's ability to stack specialised corrective models captures this complexity better than a simple vote among similar trees.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  Hyperparameter Tuning — GridSearchCV</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GridSearchCV was used to evaluate 18 combinations of hyperparameters (3 tree counts × 3 depths × 2 learning rates) using 5-fold stratified cross-validation on the combined train+validation dataset.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Values Tested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n_estimators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100, 200, 300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Number of sequential trees — more trees = more corrections but slower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max_depth</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4, 6, 8</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Depth of each tree — deeper = more specific rules = risk of memorisation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learning_rate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0.05, 0.10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Step size per tree — lower = cautious, needs more trees to converge</w:t>
            </w:r>
          </w:p>
        </w:tc>
      </w:tr>
    </w:tbl>
    <w:p>
      <w:pPr>
        <w:spacing w:after="0" w:before="80"/>
      </w:pPr>
      <w:r>
        <w:t xml:space="preserve"/>
      </w:r>
    </w:p>
    <w:p>
      <w:pPr>
        <w:pStyle w:val="Heading3"/>
        <w:spacing w:after="80" w:before="180"/>
      </w:pPr>
      <w:r>
        <w:rPr>
          <w:rFonts w:ascii="Arial" w:cs="Arial" w:eastAsia="Arial" w:hAnsi="Arial"/>
          <w:b/>
          <w:bCs/>
          <w:color w:val="404040"/>
          <w:sz w:val="24"/>
          <w:szCs w:val="24"/>
        </w:rPr>
        <w:t xml:space="preserve">Why GridSearchCV with StratifiedKFold — the business rationale</w:t>
      </w:r>
    </w:p>
    <w:p>
      <w:pPr>
        <w:pStyle w:val="ListParagraph"/>
        <w:numPr>
          <w:ilvl w:val="0"/>
          <w:numId w:val="2"/>
        </w:numPr>
        <w:spacing w:after="60" w:before="40"/>
      </w:pPr>
      <w:r>
        <w:rPr>
          <w:rFonts w:ascii="Arial" w:cs="Arial" w:eastAsia="Arial" w:hAnsi="Arial"/>
          <w:color w:val="222222"/>
          <w:sz w:val="22"/>
          <w:szCs w:val="22"/>
        </w:rPr>
        <w:t xml:space="preserve">Evaluating 18 combinations on a single validation slice risks selecting a model that was lucky on that particular slice, not genuinely better. 5-fold cross-validation evaluates each combination on 5 different slices and averages the scores — a far more reliable signal.</w:t>
      </w:r>
    </w:p>
    <w:p>
      <w:pPr>
        <w:pStyle w:val="ListParagraph"/>
        <w:numPr>
          <w:ilvl w:val="0"/>
          <w:numId w:val="2"/>
        </w:numPr>
        <w:spacing w:after="60" w:before="40"/>
      </w:pPr>
      <w:r>
        <w:rPr>
          <w:rFonts w:ascii="Arial" w:cs="Arial" w:eastAsia="Arial" w:hAnsi="Arial"/>
          <w:color w:val="222222"/>
          <w:sz w:val="22"/>
          <w:szCs w:val="22"/>
        </w:rPr>
        <w:t xml:space="preserve">Stratified folds preserve the 3.5% fraud rate in each fold. Without stratification, one fold might contain almost no fraud and give a misleadingly high AUC for the wrong reasons.</w:t>
      </w:r>
    </w:p>
    <w:p>
      <w:pPr>
        <w:pStyle w:val="ListParagraph"/>
        <w:numPr>
          <w:ilvl w:val="0"/>
          <w:numId w:val="2"/>
        </w:numPr>
        <w:spacing w:after="60" w:before="40"/>
      </w:pPr>
      <w:r>
        <w:rPr>
          <w:rFonts w:ascii="Arial" w:cs="Arial" w:eastAsia="Arial" w:hAnsi="Arial"/>
          <w:color w:val="222222"/>
          <w:sz w:val="22"/>
          <w:szCs w:val="22"/>
        </w:rPr>
        <w:t xml:space="preserve">GridSearchCV is systematic and exhaustive — it removes the human bias of manually trying combinations. Every combination gets a fair, identical evaluation process.</w:t>
      </w:r>
    </w:p>
    <w:p>
      <w:pPr>
        <w:pStyle w:val="ListParagraph"/>
        <w:numPr>
          <w:ilvl w:val="0"/>
          <w:numId w:val="2"/>
        </w:numPr>
        <w:spacing w:after="60" w:before="40"/>
      </w:pPr>
      <w:r>
        <w:rPr>
          <w:rFonts w:ascii="Arial" w:cs="Arial" w:eastAsia="Arial" w:hAnsi="Arial"/>
          <w:color w:val="222222"/>
          <w:sz w:val="22"/>
          <w:szCs w:val="22"/>
        </w:rPr>
        <w:t xml:space="preserve">The combined train+validation dataset was used for GridSearchCV because once the tuning process uses internal folds, the original validation split is no longer needed as a holdout — more data in GridSearchCV means more reliable parameter estimates.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  Overfitting Check</w:t>
      </w:r>
    </w:p>
    <w:p>
      <w:pPr>
        <w:pStyle w:val="Heading3"/>
        <w:spacing w:after="80" w:before="180"/>
      </w:pPr>
      <w:r>
        <w:rPr>
          <w:rFonts w:ascii="Arial" w:cs="Arial" w:eastAsia="Arial" w:hAnsi="Arial"/>
          <w:b/>
          <w:bCs/>
          <w:color w:val="404040"/>
          <w:sz w:val="24"/>
          <w:szCs w:val="24"/>
        </w:rPr>
        <w:t xml:space="preserve">What was done</w:t>
      </w:r>
    </w:p>
    <w:p>
      <w:pPr>
        <w:spacing w:after="100" w:before="60"/>
      </w:pPr>
      <w:r>
        <w:rPr>
          <w:rFonts w:ascii="Arial" w:cs="Arial" w:eastAsia="Arial" w:hAnsi="Arial"/>
          <w:color w:val="222222"/>
          <w:sz w:val="22"/>
          <w:szCs w:val="22"/>
        </w:rPr>
        <w:t xml:space="preserve">For each max_depth value, the model was trained on training data and evaluated on both training and validation data. The gap between the two scores was measured as the overfitting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max_depth</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 AUC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 AUC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0.9329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0.9220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0.9677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0.9455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0.9888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0.9584</w:t>
            </w:r>
          </w:p>
        </w:tc>
      </w:tr>
    </w:tbl>
    <w:p>
      <w:pPr>
        <w:spacing w:after="0" w:before="80"/>
      </w:pPr>
      <w:r>
        <w:t xml:space="preserve"/>
      </w:r>
    </w:p>
    <w:p>
      <w:pPr>
        <w:pStyle w:val="Heading3"/>
        <w:spacing w:after="80" w:before="180"/>
      </w:pPr>
      <w:r>
        <w:rPr>
          <w:rFonts w:ascii="Arial" w:cs="Arial" w:eastAsia="Arial" w:hAnsi="Arial"/>
          <w:b/>
          <w:bCs/>
          <w:color w:val="404040"/>
          <w:sz w:val="24"/>
          <w:szCs w:val="24"/>
        </w:rPr>
        <w:t xml:space="preserve">Why this matters — the business rationale</w:t>
      </w:r>
    </w:p>
    <w:p>
      <w:pPr>
        <w:pStyle w:val="ListParagraph"/>
        <w:numPr>
          <w:ilvl w:val="0"/>
          <w:numId w:val="2"/>
        </w:numPr>
        <w:spacing w:after="60" w:before="40"/>
      </w:pPr>
      <w:r>
        <w:rPr>
          <w:rFonts w:ascii="Arial" w:cs="Arial" w:eastAsia="Arial" w:hAnsi="Arial"/>
          <w:color w:val="222222"/>
          <w:sz w:val="22"/>
          <w:szCs w:val="22"/>
        </w:rPr>
        <w:t xml:space="preserve">A model that scores 0.99 on training data and 0.88 on validation has memorised the training data including its noise and quirks. When deployed on real transactions, it will see patterns it has not memorised and performance will drop sharply.</w:t>
      </w:r>
    </w:p>
    <w:p>
      <w:pPr>
        <w:pStyle w:val="ListParagraph"/>
        <w:numPr>
          <w:ilvl w:val="0"/>
          <w:numId w:val="2"/>
        </w:numPr>
        <w:spacing w:after="60" w:before="40"/>
      </w:pPr>
      <w:r>
        <w:rPr>
          <w:rFonts w:ascii="Arial" w:cs="Arial" w:eastAsia="Arial" w:hAnsi="Arial"/>
          <w:color w:val="222222"/>
          <w:sz w:val="22"/>
          <w:szCs w:val="22"/>
        </w:rPr>
        <w:t xml:space="preserve">The gap is the signal, not the absolute score. max_depth=8 had the highest validation AUC (0.9584) and a gap of 0.030 — well within acceptable limits. max_depth=4 had the smallest gap (0.011) but left meaningful performance on the table.</w:t>
      </w:r>
    </w:p>
    <w:p>
      <w:pPr>
        <w:pStyle w:val="ListParagraph"/>
        <w:numPr>
          <w:ilvl w:val="0"/>
          <w:numId w:val="2"/>
        </w:numPr>
        <w:spacing w:after="60" w:before="40"/>
      </w:pPr>
      <w:r>
        <w:rPr>
          <w:rFonts w:ascii="Arial" w:cs="Arial" w:eastAsia="Arial" w:hAnsi="Arial"/>
          <w:color w:val="222222"/>
          <w:sz w:val="22"/>
          <w:szCs w:val="22"/>
        </w:rPr>
        <w:t xml:space="preserve">A gap under 0.05 is generally acceptable. All three depths were in healthy territory, which validates that the other regularisation choices (PCA, missing value handling, feature engineering) were working as intended.</w:t>
      </w:r>
    </w:p>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4. Results &amp; Interpretation</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4.1  Final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CV Validation AUC</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~0.924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Local estimate before any test data was seen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Kaggle Public AUC</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0.9226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Scored by Kaggle on 30% of hidden test transactions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Kaggle Private AUC</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4"/>
                <w:szCs w:val="24"/>
              </w:rPr>
              <w:t xml:space="preserve">0.8901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The real score — 70% of hidden test transactions, never seen</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4.2  What AUC Actually Means in This Context</w:t>
      </w:r>
    </w:p>
    <w:p>
      <w:pPr>
        <w:spacing w:after="100" w:before="60"/>
      </w:pPr>
      <w:r>
        <w:rPr>
          <w:rFonts w:ascii="Arial" w:cs="Arial" w:eastAsia="Arial" w:hAnsi="Arial"/>
          <w:color w:val="222222"/>
          <w:sz w:val="22"/>
          <w:szCs w:val="22"/>
        </w:rPr>
        <w:t xml:space="preserve">AUC (Area Under the ROC Curve) measures the model's ability to rank a fraudulent transaction above a legitimate one, across all possible decision thresholds simultaneously. An AUC of 0.89 means that if you picked one fraudulent transaction and one legitimate transaction at random, the model would correctly rank the fraudulent one as more suspicious 89% of the time.</w:t>
      </w:r>
    </w:p>
    <w:p>
      <w:pPr>
        <w:spacing w:after="0" w:before="60"/>
      </w:pPr>
      <w:r>
        <w:t xml:space="preserve"/>
      </w:r>
    </w:p>
    <w:p>
      <w:pPr>
        <w:spacing w:after="100" w:before="60"/>
      </w:pPr>
      <w:r>
        <w:rPr>
          <w:rFonts w:ascii="Arial" w:cs="Arial" w:eastAsia="Arial" w:hAnsi="Arial"/>
          <w:color w:val="222222"/>
          <w:sz w:val="22"/>
          <w:szCs w:val="22"/>
        </w:rPr>
        <w:t xml:space="preserve">AUC is the right metric here — not accuracy — because it is threshold-independent. The actual decision threshold (the probability above which we flag a transaction) depends on the bank's risk appetite and can be adjusted after deployment without retraining the model. AUC measures the model's fundamental discriminative ability, separate from that business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Why the Private Score is the Number That Matters</w:t>
            </w:r>
          </w:p>
          <w:p>
            <w:pPr>
              <w:spacing w:after="0" w:before="0"/>
            </w:pPr>
            <w:r>
              <w:rPr>
                <w:rFonts w:ascii="Arial" w:cs="Arial" w:eastAsia="Arial" w:hAnsi="Arial"/>
                <w:color w:val="222222"/>
                <w:sz w:val="21"/>
                <w:szCs w:val="21"/>
              </w:rPr>
              <w:t xml:space="preserve">The public score (0.9226) is calculated on 30% of the test set and is visible during the competition — competitors can inadvertently tune toward it by submitting repeatedly. The private score (0.8901) is calculated on the remaining 70% and is revealed only at the end. It is the closest approximation to real production performance. A small gap between public and private scores (0.032) indicates the model generalised well rather than being tuned to the public leaderboard.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4.3  What the Confusion Matrix Tells Us</w:t>
      </w:r>
    </w:p>
    <w:p>
      <w:pPr>
        <w:spacing w:after="100" w:before="60"/>
      </w:pPr>
      <w:r>
        <w:rPr>
          <w:rFonts w:ascii="Arial" w:cs="Arial" w:eastAsia="Arial" w:hAnsi="Arial"/>
          <w:color w:val="222222"/>
          <w:sz w:val="22"/>
          <w:szCs w:val="22"/>
        </w:rPr>
        <w:t xml:space="preserve">At the optimal decision threshold (determined by maximising F1 score on the validation set):</w:t>
      </w:r>
    </w:p>
    <w:p>
      <w:pPr>
        <w:spacing w:after="0" w:before="40"/>
      </w:pPr>
      <w:r>
        <w:t xml:space="preserve"/>
      </w:r>
    </w:p>
    <w:p>
      <w:pPr>
        <w:pStyle w:val="ListParagraph"/>
        <w:numPr>
          <w:ilvl w:val="0"/>
          <w:numId w:val="2"/>
        </w:numPr>
        <w:spacing w:after="60" w:before="40"/>
      </w:pPr>
      <w:r>
        <w:rPr>
          <w:rFonts w:ascii="Arial" w:cs="Arial" w:eastAsia="Arial" w:hAnsi="Arial"/>
          <w:color w:val="222222"/>
          <w:sz w:val="22"/>
          <w:szCs w:val="22"/>
        </w:rPr>
        <w:t xml:space="preserve">True Positives (TP): Fraud transactions correctly identified and blocked. The primary business objective.</w:t>
      </w:r>
    </w:p>
    <w:p>
      <w:pPr>
        <w:pStyle w:val="ListParagraph"/>
        <w:numPr>
          <w:ilvl w:val="0"/>
          <w:numId w:val="2"/>
        </w:numPr>
        <w:spacing w:after="60" w:before="40"/>
      </w:pPr>
      <w:r>
        <w:rPr>
          <w:rFonts w:ascii="Arial" w:cs="Arial" w:eastAsia="Arial" w:hAnsi="Arial"/>
          <w:color w:val="222222"/>
          <w:sz w:val="22"/>
          <w:szCs w:val="22"/>
        </w:rPr>
        <w:t xml:space="preserve">False Positives (FP): Legitimate transactions incorrectly flagged. Each one represents an inconvenienced customer. Too many of these erodes trust.</w:t>
      </w:r>
    </w:p>
    <w:p>
      <w:pPr>
        <w:pStyle w:val="ListParagraph"/>
        <w:numPr>
          <w:ilvl w:val="0"/>
          <w:numId w:val="2"/>
        </w:numPr>
        <w:spacing w:after="60" w:before="40"/>
      </w:pPr>
      <w:r>
        <w:rPr>
          <w:rFonts w:ascii="Arial" w:cs="Arial" w:eastAsia="Arial" w:hAnsi="Arial"/>
          <w:color w:val="222222"/>
          <w:sz w:val="22"/>
          <w:szCs w:val="22"/>
        </w:rPr>
        <w:t xml:space="preserve">False Negatives (FN): Fraud transactions missed entirely. Each one is a direct financial loss. The most costly outcome.</w:t>
      </w:r>
    </w:p>
    <w:p>
      <w:pPr>
        <w:pStyle w:val="ListParagraph"/>
        <w:numPr>
          <w:ilvl w:val="0"/>
          <w:numId w:val="2"/>
        </w:numPr>
        <w:spacing w:after="60" w:before="40"/>
      </w:pPr>
      <w:r>
        <w:rPr>
          <w:rFonts w:ascii="Arial" w:cs="Arial" w:eastAsia="Arial" w:hAnsi="Arial"/>
          <w:color w:val="222222"/>
          <w:sz w:val="22"/>
          <w:szCs w:val="22"/>
        </w:rPr>
        <w:t xml:space="preserve">True Negatives (TN): Legitimate transactions correctly approved. The vast majority of all transactions.</w:t>
      </w:r>
    </w:p>
    <w:p>
      <w:pPr>
        <w:spacing w:after="0" w:before="40"/>
      </w:pPr>
      <w:r>
        <w:t xml:space="preserve"/>
      </w:r>
    </w:p>
    <w:p>
      <w:pPr>
        <w:spacing w:after="100" w:before="60"/>
      </w:pPr>
      <w:r>
        <w:rPr>
          <w:rFonts w:ascii="Arial" w:cs="Arial" w:eastAsia="Arial" w:hAnsi="Arial"/>
          <w:color w:val="222222"/>
          <w:sz w:val="22"/>
          <w:szCs w:val="22"/>
        </w:rPr>
        <w:t xml:space="preserve">The threshold is a business decision. A conservative threshold (lower number) catches more fraud but generates more false alarms. An aggressive threshold (higher number) reduces customer friction but misses more fraud. This tradeoff is tuned after the model is built, based on the bank's operational capacity to investigate alerts and its tolerance for fraud losses.</w:t>
      </w:r>
    </w:p>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5. Project Architecture</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5.1  Code Structure</w:t>
      </w:r>
    </w:p>
    <w:p>
      <w:pPr>
        <w:spacing w:after="100" w:before="60"/>
      </w:pPr>
      <w:r>
        <w:rPr>
          <w:rFonts w:ascii="Arial" w:cs="Arial" w:eastAsia="Arial" w:hAnsi="Arial"/>
          <w:color w:val="222222"/>
          <w:sz w:val="22"/>
          <w:szCs w:val="22"/>
        </w:rPr>
        <w:t xml:space="preserve">The project follows the Cookiecutter Data Science pattern used by companies including Netflix, Airbnb, and Spotify. The core principle is separation between exploration code (notebooks) and production code (src/ modules).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src/preprocessing.py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five transformer classes and the pipeline builder. Importable, testable, reusable.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src/train.py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training run: loads data, fits pipeline, runs GridSearchCV, saves artifacts.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src/predict.py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Production inference: loads saved pipeline and model, transforms raw data, returns predictions.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notebooks/01_eda.ipynb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Exploration only — plots, distributions, missing value analysis. Never imported by anything.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notebooks/02_train_and_evaluate.ipynb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Orchestration — imports from src/, runs training, displays evaluation results and SHAP plots.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configs/train_config.yaml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hyperparameters and file paths. Change a parameter without touching the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artifacts/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Saved pipeline.pkl and model.pkl. Generated by training, loaded for inference.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Unit tests for each transformer class ensuring correct fit/transform behaviour.</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5.2  The Separation That Matters Most</w:t>
      </w:r>
    </w:p>
    <w:p>
      <w:pPr>
        <w:spacing w:after="100" w:before="60"/>
      </w:pPr>
      <w:r>
        <w:rPr>
          <w:rFonts w:ascii="Arial" w:cs="Arial" w:eastAsia="Arial" w:hAnsi="Arial"/>
          <w:color w:val="222222"/>
          <w:sz w:val="22"/>
          <w:szCs w:val="22"/>
        </w:rPr>
        <w:t xml:space="preserve">The distinction between notebooks/ and src/ is not aesthetic — it is the difference between research code and production code.</w:t>
      </w:r>
    </w:p>
    <w:p>
      <w:pPr>
        <w:spacing w:after="0" w:before="40"/>
      </w:pPr>
      <w:r>
        <w:t xml:space="preserve"/>
      </w:r>
    </w:p>
    <w:p>
      <w:pPr>
        <w:pStyle w:val="ListParagraph"/>
        <w:numPr>
          <w:ilvl w:val="0"/>
          <w:numId w:val="2"/>
        </w:numPr>
        <w:spacing w:after="60" w:before="40"/>
      </w:pPr>
      <w:r>
        <w:rPr>
          <w:rFonts w:ascii="Arial" w:cs="Arial" w:eastAsia="Arial" w:hAnsi="Arial"/>
          <w:color w:val="222222"/>
          <w:sz w:val="22"/>
          <w:szCs w:val="22"/>
        </w:rPr>
        <w:t xml:space="preserve">Notebooks are questions asked of data. They run once, in order, by a human. They break when the session restarts. They cannot be imported, tested, or scheduled.</w:t>
      </w:r>
    </w:p>
    <w:p>
      <w:pPr>
        <w:pStyle w:val="ListParagraph"/>
        <w:numPr>
          <w:ilvl w:val="0"/>
          <w:numId w:val="2"/>
        </w:numPr>
        <w:spacing w:after="60" w:before="40"/>
      </w:pPr>
      <w:r>
        <w:rPr>
          <w:rFonts w:ascii="Arial" w:cs="Arial" w:eastAsia="Arial" w:hAnsi="Arial"/>
          <w:color w:val="222222"/>
          <w:sz w:val="22"/>
          <w:szCs w:val="22"/>
        </w:rPr>
        <w:t xml:space="preserve">src/ modules are answers encoded as functions. They run identically every time. They can be imported by three different files simultaneously. They can be unit tested. They can run on a schedule with no human present.</w:t>
      </w:r>
    </w:p>
    <w:p>
      <w:pPr>
        <w:pStyle w:val="ListParagraph"/>
        <w:numPr>
          <w:ilvl w:val="0"/>
          <w:numId w:val="2"/>
        </w:numPr>
        <w:spacing w:after="60" w:before="40"/>
      </w:pPr>
      <w:r>
        <w:rPr>
          <w:rFonts w:ascii="Arial" w:cs="Arial" w:eastAsia="Arial" w:hAnsi="Arial"/>
          <w:color w:val="222222"/>
          <w:sz w:val="22"/>
          <w:szCs w:val="22"/>
        </w:rPr>
        <w:t xml:space="preserve">The rule: if a block of code will run more than once, or needs to be called from more than one place, it belongs in src/. If it is a one-time investigation, it belongs in a notebook cell.</w:t>
      </w:r>
    </w:p>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6. Key Concepts for Interview</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6.1  Data Leakage — The Cardinal Sin</w:t>
      </w:r>
    </w:p>
    <w:p>
      <w:pPr>
        <w:spacing w:after="100" w:before="60"/>
      </w:pPr>
      <w:r>
        <w:rPr>
          <w:rFonts w:ascii="Arial" w:cs="Arial" w:eastAsia="Arial" w:hAnsi="Arial"/>
          <w:color w:val="222222"/>
          <w:sz w:val="22"/>
          <w:szCs w:val="22"/>
        </w:rPr>
        <w:t xml:space="preserve">Data leakage occurs when information from test or validation data is used, directly or indirectly, during model training. It produces models that appear to perform better than they actually do, then fail in production.</w:t>
      </w:r>
    </w:p>
    <w:p>
      <w:pPr>
        <w:spacing w:after="0" w:before="40"/>
      </w:pPr>
      <w:r>
        <w:t xml:space="preserve"/>
      </w:r>
    </w:p>
    <w:p>
      <w:pPr>
        <w:pStyle w:val="ListParagraph"/>
        <w:numPr>
          <w:ilvl w:val="0"/>
          <w:numId w:val="2"/>
        </w:numPr>
        <w:spacing w:after="60" w:before="40"/>
      </w:pPr>
      <w:r>
        <w:rPr>
          <w:rFonts w:ascii="Arial" w:cs="Arial" w:eastAsia="Arial" w:hAnsi="Arial"/>
          <w:color w:val="222222"/>
          <w:sz w:val="22"/>
          <w:szCs w:val="22"/>
        </w:rPr>
        <w:t xml:space="preserve">Direct leakage: fitting a scaler on the full dataset before splitting. The scaler's mean and standard deviation have been influenced by test data. When you later evaluate on test, the model has already 'seen' it.</w:t>
      </w:r>
    </w:p>
    <w:p>
      <w:pPr>
        <w:pStyle w:val="ListParagraph"/>
        <w:numPr>
          <w:ilvl w:val="0"/>
          <w:numId w:val="2"/>
        </w:numPr>
        <w:spacing w:after="60" w:before="40"/>
      </w:pPr>
      <w:r>
        <w:rPr>
          <w:rFonts w:ascii="Arial" w:cs="Arial" w:eastAsia="Arial" w:hAnsi="Arial"/>
          <w:color w:val="222222"/>
          <w:sz w:val="22"/>
          <w:szCs w:val="22"/>
        </w:rPr>
        <w:t xml:space="preserve">Indirect leakage: computing a global frequency encoding on the full dataset, then splitting. The encoding for test categories was influenced by test data.</w:t>
      </w:r>
    </w:p>
    <w:p>
      <w:pPr>
        <w:pStyle w:val="ListParagraph"/>
        <w:numPr>
          <w:ilvl w:val="0"/>
          <w:numId w:val="2"/>
        </w:numPr>
        <w:spacing w:after="60" w:before="40"/>
      </w:pPr>
      <w:r>
        <w:rPr>
          <w:rFonts w:ascii="Arial" w:cs="Arial" w:eastAsia="Arial" w:hAnsi="Arial"/>
          <w:color w:val="222222"/>
          <w:sz w:val="22"/>
          <w:szCs w:val="22"/>
        </w:rPr>
        <w:t xml:space="preserve">Target leakage: including features that are consequences of the target rather than causes. For example, including a 'chargeback_filed' column to predict fraud — a chargeback is filed after fraud is confirmed, not before.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0"/>
                <w:szCs w:val="20"/>
              </w:rPr>
              <w:t xml:space="preserve">How This Project Prevents Leakage</w:t>
            </w:r>
          </w:p>
          <w:p>
            <w:pPr>
              <w:spacing w:after="0" w:before="0"/>
            </w:pPr>
            <w:r>
              <w:rPr>
                <w:rFonts w:ascii="Arial" w:cs="Arial" w:eastAsia="Arial" w:hAnsi="Arial"/>
                <w:color w:val="222222"/>
                <w:sz w:val="21"/>
                <w:szCs w:val="21"/>
              </w:rPr>
              <w:t xml:space="preserve">The sklearn Pipeline ensures fit() is called exactly once, on training data only. Every parameter — scaler means, PCA components, label maps, frequency counts, missing column lists — is learned from training data and applied to everything else. The Pipeline makes leakage structurally impossible within the preprocessing steps.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6.2  Why AUC Over Accuracy</w:t>
      </w:r>
    </w:p>
    <w:p>
      <w:pPr>
        <w:spacing w:after="100" w:before="60"/>
      </w:pPr>
      <w:r>
        <w:rPr>
          <w:rFonts w:ascii="Arial" w:cs="Arial" w:eastAsia="Arial" w:hAnsi="Arial"/>
          <w:color w:val="222222"/>
          <w:sz w:val="22"/>
          <w:szCs w:val="22"/>
        </w:rPr>
        <w:t xml:space="preserve">This is almost always asked in interviews for fraud, medical, or any imbalanced classification problem.</w:t>
      </w:r>
    </w:p>
    <w:p>
      <w:pPr>
        <w:spacing w:after="0" w:before="40"/>
      </w:pPr>
      <w:r>
        <w:t xml:space="preserve"/>
      </w:r>
    </w:p>
    <w:p>
      <w:pPr>
        <w:pStyle w:val="ListParagraph"/>
        <w:numPr>
          <w:ilvl w:val="0"/>
          <w:numId w:val="2"/>
        </w:numPr>
        <w:spacing w:after="60" w:before="40"/>
      </w:pPr>
      <w:r>
        <w:rPr>
          <w:rFonts w:ascii="Arial" w:cs="Arial" w:eastAsia="Arial" w:hAnsi="Arial"/>
          <w:color w:val="222222"/>
          <w:sz w:val="22"/>
          <w:szCs w:val="22"/>
        </w:rPr>
        <w:t xml:space="preserve">Accuracy is the percentage of correct predictions. On a dataset where 96.5% of transactions are legitimate, predicting 'always legitimate' gives 96.5% accuracy while catching zero fraud. Accuracy is therefore a useless metric.</w:t>
      </w:r>
    </w:p>
    <w:p>
      <w:pPr>
        <w:pStyle w:val="ListParagraph"/>
        <w:numPr>
          <w:ilvl w:val="0"/>
          <w:numId w:val="2"/>
        </w:numPr>
        <w:spacing w:after="60" w:before="40"/>
      </w:pPr>
      <w:r>
        <w:rPr>
          <w:rFonts w:ascii="Arial" w:cs="Arial" w:eastAsia="Arial" w:hAnsi="Arial"/>
          <w:color w:val="222222"/>
          <w:sz w:val="22"/>
          <w:szCs w:val="22"/>
        </w:rPr>
        <w:t xml:space="preserve">AUC measures ranking ability across all thresholds: can the model consistently place fraudulent transactions above legitimate ones in its probability ranking? This is threshold-independent and imbalance-robust.</w:t>
      </w:r>
    </w:p>
    <w:p>
      <w:pPr>
        <w:pStyle w:val="ListParagraph"/>
        <w:numPr>
          <w:ilvl w:val="0"/>
          <w:numId w:val="2"/>
        </w:numPr>
        <w:spacing w:after="60" w:before="40"/>
      </w:pPr>
      <w:r>
        <w:rPr>
          <w:rFonts w:ascii="Arial" w:cs="Arial" w:eastAsia="Arial" w:hAnsi="Arial"/>
          <w:color w:val="222222"/>
          <w:sz w:val="22"/>
          <w:szCs w:val="22"/>
        </w:rPr>
        <w:t xml:space="preserve">Precision and Recall answer complementary questions: of all transactions we flagged, how many were actually fraud (precision)? Of all actual fraud, how many did we catch (recall)? These metrics directly reflect business costs and are the right language for conversations with fraud operations teams.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6.3  The fit() / transform() Distinction</w:t>
      </w:r>
    </w:p>
    <w:p>
      <w:pPr>
        <w:spacing w:after="100" w:before="60"/>
      </w:pPr>
      <w:r>
        <w:rPr>
          <w:rFonts w:ascii="Arial" w:cs="Arial" w:eastAsia="Arial" w:hAnsi="Arial"/>
          <w:color w:val="222222"/>
          <w:sz w:val="22"/>
          <w:szCs w:val="22"/>
        </w:rPr>
        <w:t xml:space="preserve">This is fundamental and distinguishes candidates who understand ML pipelines from those who do not.</w:t>
      </w:r>
    </w:p>
    <w:p>
      <w:pPr>
        <w:spacing w:after="0" w:before="40"/>
      </w:pPr>
      <w:r>
        <w:t xml:space="preserve"/>
      </w:r>
    </w:p>
    <w:p>
      <w:pPr>
        <w:pStyle w:val="ListParagraph"/>
        <w:numPr>
          <w:ilvl w:val="0"/>
          <w:numId w:val="2"/>
        </w:numPr>
        <w:spacing w:after="60" w:before="40"/>
      </w:pPr>
      <w:r>
        <w:rPr>
          <w:rFonts w:ascii="Arial" w:cs="Arial" w:eastAsia="Arial" w:hAnsi="Arial"/>
          <w:color w:val="222222"/>
          <w:sz w:val="22"/>
          <w:szCs w:val="22"/>
        </w:rPr>
        <w:t xml:space="preserve">fit() is calibration: the transformer reads training data and learns parameters (statistics, maps, structures) that it will need later. These parameters are stored internally with a trailing underscore by sklearn convention (mean_, components_, classes_).</w:t>
      </w:r>
    </w:p>
    <w:p>
      <w:pPr>
        <w:pStyle w:val="ListParagraph"/>
        <w:numPr>
          <w:ilvl w:val="0"/>
          <w:numId w:val="2"/>
        </w:numPr>
        <w:spacing w:after="60" w:before="40"/>
      </w:pPr>
      <w:r>
        <w:rPr>
          <w:rFonts w:ascii="Arial" w:cs="Arial" w:eastAsia="Arial" w:hAnsi="Arial"/>
          <w:color w:val="222222"/>
          <w:sz w:val="22"/>
          <w:szCs w:val="22"/>
        </w:rPr>
        <w:t xml:space="preserve">transform() is application: the transformer applies its stored parameters to whatever data it receives. It never looks at the data to relearn anything — it only applies what was learned in fit().</w:t>
      </w:r>
    </w:p>
    <w:p>
      <w:pPr>
        <w:pStyle w:val="ListParagraph"/>
        <w:numPr>
          <w:ilvl w:val="0"/>
          <w:numId w:val="2"/>
        </w:numPr>
        <w:spacing w:after="60" w:before="40"/>
      </w:pPr>
      <w:r>
        <w:rPr>
          <w:rFonts w:ascii="Arial" w:cs="Arial" w:eastAsia="Arial" w:hAnsi="Arial"/>
          <w:color w:val="222222"/>
          <w:sz w:val="22"/>
          <w:szCs w:val="22"/>
        </w:rPr>
        <w:t xml:space="preserve">fit_transform() on training data is a convenient shortcut that fits then immediately transforms. It is correct and efficient on training data. It is wrong on test data — calling fit_transform on test data would relearn parameters from test data, causing leakage.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60" w:before="0"/>
            </w:pPr>
            <w:r>
              <w:rPr>
                <w:rFonts w:ascii="Arial" w:cs="Arial" w:eastAsia="Arial" w:hAnsi="Arial"/>
                <w:b/>
                <w:bCs/>
                <w:color w:val="7F5A00"/>
                <w:sz w:val="20"/>
                <w:szCs w:val="20"/>
              </w:rPr>
              <w:t xml:space="preserve">The One-Sentence Answer</w:t>
            </w:r>
          </w:p>
          <w:p>
            <w:pPr>
              <w:spacing w:after="0" w:before="0"/>
            </w:pPr>
            <w:r>
              <w:rPr>
                <w:rFonts w:ascii="Arial" w:cs="Arial" w:eastAsia="Arial" w:hAnsi="Arial"/>
                <w:color w:val="222222"/>
                <w:sz w:val="21"/>
                <w:szCs w:val="21"/>
              </w:rPr>
              <w:t xml:space="preserve">fit() learns from training data and stores the result. transform() applies the stored result to any data without learning anything new. This separation ensures test data never influences the parameters used to process it.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6.4  Why PCA on the V-Columns</w:t>
      </w:r>
    </w:p>
    <w:p>
      <w:pPr>
        <w:spacing w:after="100" w:before="60"/>
      </w:pPr>
      <w:r>
        <w:rPr>
          <w:rFonts w:ascii="Arial" w:cs="Arial" w:eastAsia="Arial" w:hAnsi="Arial"/>
          <w:color w:val="222222"/>
          <w:sz w:val="22"/>
          <w:szCs w:val="22"/>
        </w:rPr>
        <w:t xml:space="preserve">The 339 V-columns are anonymised and heavily correlated — many of them capture overlapping information. Using all 339 directly would create multicollinearity (multiple columns saying the same thing), slow training significantly, and potentially allow the model to overfit to noise in the redundant features.</w:t>
      </w:r>
    </w:p>
    <w:p>
      <w:pPr>
        <w:spacing w:after="0" w:before="40"/>
      </w:pPr>
      <w:r>
        <w:t xml:space="preserve"/>
      </w:r>
    </w:p>
    <w:p>
      <w:pPr>
        <w:spacing w:after="100" w:before="60"/>
      </w:pPr>
      <w:r>
        <w:rPr>
          <w:rFonts w:ascii="Arial" w:cs="Arial" w:eastAsia="Arial" w:hAnsi="Arial"/>
          <w:color w:val="222222"/>
          <w:sz w:val="22"/>
          <w:szCs w:val="22"/>
        </w:rPr>
        <w:t xml:space="preserve">PCA finds the underlying directions of maximum variance — the combinations of V-columns that carry the most signal — and expresses the data in terms of those directions. 59 components capturing 90% of variance is a principled reduction: we keep the information, discard the noise, and reduce the feature space by 84%.</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6.5  XGBoost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 Interpretation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n_estimators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How many sequential corrective trees to build. More trees = more corrections, but diminishing returns and slower inference.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max_depth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How specific each tree's rules can be. Shallow = simple rules that generalise. Deep = complex rules that may memorise training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learning_rate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How aggressively each tree updates the prediction. Low = cautious, needs more trees. High = fast but risks overshooting.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scale_pos_weight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How much more to penalise missing a fraud vs missing a legit transaction. Set to (legit count / fraud count) ≈ 27 for this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subsample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 fraction of training rows each tree sees. Prevents any tree from memorising the full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colsample_bytree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 fraction of features each tree can use. Forces diversity across trees, improves generalisation.</w:t>
            </w:r>
          </w:p>
        </w:tc>
      </w:tr>
    </w:tbl>
    <w:p>
      <w:pPr>
        <w:spacing w:after="0" w:before="160"/>
      </w:pPr>
      <w:r>
        <w:t xml:space="preserve"/>
      </w:r>
    </w:p>
    <w:p>
      <w:r>
        <w:br w:type="pag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7. Limitations &amp; What Would Improve This</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Honest Limitations</w:t>
      </w:r>
    </w:p>
    <w:p>
      <w:pPr>
        <w:pStyle w:val="ListParagraph"/>
        <w:numPr>
          <w:ilvl w:val="0"/>
          <w:numId w:val="2"/>
        </w:numPr>
        <w:spacing w:after="60" w:before="40"/>
      </w:pPr>
      <w:r>
        <w:rPr>
          <w:rFonts w:ascii="Arial" w:cs="Arial" w:eastAsia="Arial" w:hAnsi="Arial"/>
          <w:color w:val="222222"/>
          <w:sz w:val="22"/>
          <w:szCs w:val="22"/>
        </w:rPr>
        <w:t xml:space="preserve">Feature engineering was minimal. The V-columns were PCA-reduced rather than interpreted. Domain-specific features — velocity features (how many transactions from this card in the last hour), time-based features (day of week, hour of day), network features (shared device across multiple cards) — were not engineered. These are the features that typically separate top-quartile fraud models from baseline models.</w:t>
      </w:r>
    </w:p>
    <w:p>
      <w:pPr>
        <w:pStyle w:val="ListParagraph"/>
        <w:numPr>
          <w:ilvl w:val="0"/>
          <w:numId w:val="2"/>
        </w:numPr>
        <w:spacing w:after="60" w:before="40"/>
      </w:pPr>
      <w:r>
        <w:rPr>
          <w:rFonts w:ascii="Arial" w:cs="Arial" w:eastAsia="Arial" w:hAnsi="Arial"/>
          <w:color w:val="222222"/>
          <w:sz w:val="22"/>
          <w:szCs w:val="22"/>
        </w:rPr>
        <w:t xml:space="preserve">The identity table was not joined. The dataset includes a separate identity table with device and browser information. Joining these tables and extracting identity-based features (e.g., how many cards has this device been used with) was out of scope for this iteration.</w:t>
      </w:r>
    </w:p>
    <w:p>
      <w:pPr>
        <w:pStyle w:val="ListParagraph"/>
        <w:numPr>
          <w:ilvl w:val="0"/>
          <w:numId w:val="2"/>
        </w:numPr>
        <w:spacing w:after="60" w:before="40"/>
      </w:pPr>
      <w:r>
        <w:rPr>
          <w:rFonts w:ascii="Arial" w:cs="Arial" w:eastAsia="Arial" w:hAnsi="Arial"/>
          <w:color w:val="222222"/>
          <w:sz w:val="22"/>
          <w:szCs w:val="22"/>
        </w:rPr>
        <w:t xml:space="preserve">No ensemble or stacking. Top Kaggle scores use ensembles of XGBoost, LightGBM, and neural networks. A single XGBoost model, however well-tuned, has a performance ceiling.</w:t>
      </w:r>
    </w:p>
    <w:p>
      <w:pPr>
        <w:pStyle w:val="ListParagraph"/>
        <w:numPr>
          <w:ilvl w:val="0"/>
          <w:numId w:val="2"/>
        </w:numPr>
        <w:spacing w:after="60" w:before="40"/>
      </w:pPr>
      <w:r>
        <w:rPr>
          <w:rFonts w:ascii="Arial" w:cs="Arial" w:eastAsia="Arial" w:hAnsi="Arial"/>
          <w:color w:val="222222"/>
          <w:sz w:val="22"/>
          <w:szCs w:val="22"/>
        </w:rPr>
        <w:t xml:space="preserve">The threshold was not optimised for a specific business cost function. The current threshold maximises F1 on the validation set, which treats precision and recall equally. A real deployment would define the cost of a false negative (fraud loss in dollars) relative to the cost of a false positive (investigation cost + customer friction) and optimise accordingly.</w:t>
      </w:r>
    </w:p>
    <w:p>
      <w:pPr>
        <w:pStyle w:val="ListParagraph"/>
        <w:numPr>
          <w:ilvl w:val="0"/>
          <w:numId w:val="2"/>
        </w:numPr>
        <w:spacing w:after="60" w:before="40"/>
      </w:pPr>
      <w:r>
        <w:rPr>
          <w:rFonts w:ascii="Arial" w:cs="Arial" w:eastAsia="Arial" w:hAnsi="Arial"/>
          <w:color w:val="222222"/>
          <w:sz w:val="22"/>
          <w:szCs w:val="22"/>
        </w:rPr>
        <w:t xml:space="preserve">No temporal validation. The dataset spans 6 months. A proper temporal validation would train on the first 4 months and validate on months 5 and 6 — simulating the real-world condition where the model is always evaluated on future data.</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What Would Be Done Next</w:t>
      </w:r>
    </w:p>
    <w:p>
      <w:pPr>
        <w:pStyle w:val="ListParagraph"/>
        <w:numPr>
          <w:ilvl w:val="0"/>
          <w:numId w:val="2"/>
        </w:numPr>
        <w:spacing w:after="60" w:before="40"/>
      </w:pPr>
      <w:r>
        <w:rPr>
          <w:rFonts w:ascii="Arial" w:cs="Arial" w:eastAsia="Arial" w:hAnsi="Arial"/>
          <w:color w:val="222222"/>
          <w:sz w:val="22"/>
          <w:szCs w:val="22"/>
        </w:rPr>
        <w:t xml:space="preserve">Engineer velocity features: transaction count per card in the last 1h / 24h / 7d, amount deviation from cardholder's historical average.</w:t>
      </w:r>
    </w:p>
    <w:p>
      <w:pPr>
        <w:pStyle w:val="ListParagraph"/>
        <w:numPr>
          <w:ilvl w:val="0"/>
          <w:numId w:val="2"/>
        </w:numPr>
        <w:spacing w:after="60" w:before="40"/>
      </w:pPr>
      <w:r>
        <w:rPr>
          <w:rFonts w:ascii="Arial" w:cs="Arial" w:eastAsia="Arial" w:hAnsi="Arial"/>
          <w:color w:val="222222"/>
          <w:sz w:val="22"/>
          <w:szCs w:val="22"/>
        </w:rPr>
        <w:t xml:space="preserve">Join the identity table and extract device-level aggregates: how many unique cards per device, how many unique emails per device.</w:t>
      </w:r>
    </w:p>
    <w:p>
      <w:pPr>
        <w:pStyle w:val="ListParagraph"/>
        <w:numPr>
          <w:ilvl w:val="0"/>
          <w:numId w:val="2"/>
        </w:numPr>
        <w:spacing w:after="60" w:before="40"/>
      </w:pPr>
      <w:r>
        <w:rPr>
          <w:rFonts w:ascii="Arial" w:cs="Arial" w:eastAsia="Arial" w:hAnsi="Arial"/>
          <w:color w:val="222222"/>
          <w:sz w:val="22"/>
          <w:szCs w:val="22"/>
        </w:rPr>
        <w:t xml:space="preserve">Add LightGBM to the comparison and build a simple weighted ensemble.</w:t>
      </w:r>
    </w:p>
    <w:p>
      <w:pPr>
        <w:pStyle w:val="ListParagraph"/>
        <w:numPr>
          <w:ilvl w:val="0"/>
          <w:numId w:val="2"/>
        </w:numPr>
        <w:spacing w:after="60" w:before="40"/>
      </w:pPr>
      <w:r>
        <w:rPr>
          <w:rFonts w:ascii="Arial" w:cs="Arial" w:eastAsia="Arial" w:hAnsi="Arial"/>
          <w:color w:val="222222"/>
          <w:sz w:val="22"/>
          <w:szCs w:val="22"/>
        </w:rPr>
        <w:t xml:space="preserve">Implement temporal cross-validation using TimeSeriesSplit to ensure the model is validated on future data rather than random samples.</w:t>
      </w:r>
    </w:p>
    <w:p>
      <w:pPr>
        <w:pStyle w:val="ListParagraph"/>
        <w:numPr>
          <w:ilvl w:val="0"/>
          <w:numId w:val="2"/>
        </w:numPr>
        <w:spacing w:after="60" w:before="40"/>
      </w:pPr>
      <w:r>
        <w:rPr>
          <w:rFonts w:ascii="Arial" w:cs="Arial" w:eastAsia="Arial" w:hAnsi="Arial"/>
          <w:color w:val="222222"/>
          <w:sz w:val="22"/>
          <w:szCs w:val="22"/>
        </w:rPr>
        <w:t xml:space="preserve">Add scale_pos_weight to the GridSearchCV parameter grid to tune the class imbalance handling alongside the tree parameters.</w:t>
      </w:r>
    </w:p>
    <w:p>
      <w:pPr>
        <w:spacing w:after="0" w:before="160"/>
      </w:pPr>
      <w:r>
        <w:t xml:space="preserve"/>
      </w:r>
    </w:p>
    <w:p>
      <w:pPr>
        <w:pBdr>
          <w:left w:val="single" w:color="2E75B6" w:sz="18" w:space="8"/>
        </w:pBdr>
        <w:shd w:fill="EBF3FB" w:val="clear"/>
        <w:spacing w:after="80" w:before="280"/>
        <w:ind w:left="160"/>
      </w:pPr>
      <w:r>
        <w:rPr>
          <w:rFonts w:ascii="Arial" w:cs="Arial" w:eastAsia="Arial" w:hAnsi="Arial"/>
          <w:b/>
          <w:bCs/>
          <w:color w:val="1F4E79"/>
          <w:sz w:val="28"/>
          <w:szCs w:val="28"/>
        </w:rPr>
        <w:t xml:space="preserve">8. One-Page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240"/>
              <w:bottom w:type="dxa" w:w="200"/>
              <w:right w:type="dxa" w:w="240"/>
            </w:tcMar>
          </w:tcPr>
          <w:p>
            <w:pPr>
              <w:spacing w:after="120" w:before="0"/>
            </w:pPr>
            <w:r>
              <w:rPr>
                <w:rFonts w:ascii="Arial" w:cs="Arial" w:eastAsia="Arial" w:hAnsi="Arial"/>
                <w:b/>
                <w:bCs/>
                <w:color w:val="1F4E79"/>
                <w:sz w:val="24"/>
                <w:szCs w:val="24"/>
              </w:rPr>
              <w:t xml:space="preserve">Problem</w:t>
            </w:r>
          </w:p>
          <w:p>
            <w:pPr>
              <w:spacing w:after="160" w:before="0"/>
            </w:pPr>
            <w:r>
              <w:rPr>
                <w:rFonts w:ascii="Arial" w:cs="Arial" w:eastAsia="Arial" w:hAnsi="Arial"/>
                <w:color w:val="222222"/>
                <w:sz w:val="22"/>
                <w:szCs w:val="22"/>
              </w:rPr>
              <w:t xml:space="preserve">Predict whether a financial transaction is fraudulent using 394 features across 590,540 training transactions, where only 3.5% are fraud.</w:t>
            </w:r>
          </w:p>
          <w:p>
            <w:pPr>
              <w:spacing w:after="120" w:before="0"/>
            </w:pPr>
            <w:r>
              <w:rPr>
                <w:rFonts w:ascii="Arial" w:cs="Arial" w:eastAsia="Arial" w:hAnsi="Arial"/>
                <w:b/>
                <w:bCs/>
                <w:color w:val="1F4E79"/>
                <w:sz w:val="24"/>
                <w:szCs w:val="24"/>
              </w:rPr>
              <w:t xml:space="preserve">Approach</w:t>
            </w:r>
          </w:p>
          <w:p>
            <w:pPr>
              <w:spacing w:after="60" w:before="0"/>
            </w:pPr>
            <w:r>
              <w:rPr>
                <w:rFonts w:ascii="Arial" w:cs="Arial" w:eastAsia="Arial" w:hAnsi="Arial"/>
                <w:color w:val="222222"/>
                <w:sz w:val="22"/>
                <w:szCs w:val="22"/>
              </w:rPr>
              <w:t xml:space="preserve">Built a production-grade sklearn Pipeline with five sequential transformers (drop high-missing columns, PCA on 339 V-columns, numerical imputation with missing flags, date conversion, categorical encoding). Pipeline fitted on training data only — parameters applied identically to validation and test. Hyperparameters tuned via GridSearchCV with 5-fold stratified cross-validation across 18 combinations.</w:t>
            </w:r>
          </w:p>
          <w:p>
            <w:pPr>
              <w:spacing w:after="0" w:before="60"/>
            </w:pPr>
            <w:r>
              <w:t xml:space="preserve"/>
            </w:r>
          </w:p>
          <w:p>
            <w:pPr>
              <w:spacing w:after="120" w:before="0"/>
            </w:pPr>
            <w:r>
              <w:rPr>
                <w:rFonts w:ascii="Arial" w:cs="Arial" w:eastAsia="Arial" w:hAnsi="Arial"/>
                <w:b/>
                <w:bCs/>
                <w:color w:val="1F4E79"/>
                <w:sz w:val="24"/>
                <w:szCs w:val="24"/>
              </w:rPr>
              <w:t xml:space="preserve">Key Engineering Decisions</w:t>
            </w:r>
          </w:p>
          <w:p>
            <w:pPr>
              <w:pStyle w:val="ListParagraph"/>
              <w:numPr>
                <w:ilvl w:val="0"/>
                <w:numId w:val="2"/>
              </w:numPr>
              <w:spacing w:after="40" w:before="40"/>
            </w:pPr>
            <w:r>
              <w:rPr>
                <w:rFonts w:ascii="Arial" w:cs="Arial" w:eastAsia="Arial" w:hAnsi="Arial"/>
                <w:color w:val="222222"/>
                <w:sz w:val="22"/>
                <w:szCs w:val="22"/>
              </w:rPr>
              <w:t xml:space="preserve">No data leakage: every preprocessing parameter learned from training data only</w:t>
            </w:r>
          </w:p>
          <w:p>
            <w:pPr>
              <w:pStyle w:val="ListParagraph"/>
              <w:numPr>
                <w:ilvl w:val="0"/>
                <w:numId w:val="2"/>
              </w:numPr>
              <w:spacing w:after="40" w:before="40"/>
            </w:pPr>
            <w:r>
              <w:rPr>
                <w:rFonts w:ascii="Arial" w:cs="Arial" w:eastAsia="Arial" w:hAnsi="Arial"/>
                <w:color w:val="222222"/>
                <w:sz w:val="22"/>
                <w:szCs w:val="22"/>
              </w:rPr>
              <w:t xml:space="preserve">PCA reduced 339 V-columns to 59 components retaining 90% variance</w:t>
            </w:r>
          </w:p>
          <w:p>
            <w:pPr>
              <w:pStyle w:val="ListParagraph"/>
              <w:numPr>
                <w:ilvl w:val="0"/>
                <w:numId w:val="2"/>
              </w:numPr>
              <w:spacing w:after="40" w:before="40"/>
            </w:pPr>
            <w:r>
              <w:rPr>
                <w:rFonts w:ascii="Arial" w:cs="Arial" w:eastAsia="Arial" w:hAnsi="Arial"/>
                <w:color w:val="222222"/>
                <w:sz w:val="22"/>
                <w:szCs w:val="22"/>
              </w:rPr>
              <w:t xml:space="preserve">Missing value flags preserve the signal that information was withheld</w:t>
            </w:r>
          </w:p>
          <w:p>
            <w:pPr>
              <w:pStyle w:val="ListParagraph"/>
              <w:numPr>
                <w:ilvl w:val="0"/>
                <w:numId w:val="2"/>
              </w:numPr>
              <w:spacing w:after="40" w:before="40"/>
            </w:pPr>
            <w:r>
              <w:rPr>
                <w:rFonts w:ascii="Arial" w:cs="Arial" w:eastAsia="Arial" w:hAnsi="Arial"/>
                <w:color w:val="222222"/>
                <w:sz w:val="22"/>
                <w:szCs w:val="22"/>
              </w:rPr>
              <w:t xml:space="preserve">Frequency encoding for high-cardinality categoricals with graceful handling of unseen categories</w:t>
            </w:r>
          </w:p>
          <w:p>
            <w:pPr>
              <w:pStyle w:val="ListParagraph"/>
              <w:numPr>
                <w:ilvl w:val="0"/>
                <w:numId w:val="2"/>
              </w:numPr>
              <w:spacing w:after="60" w:before="40"/>
            </w:pPr>
            <w:r>
              <w:rPr>
                <w:rFonts w:ascii="Arial" w:cs="Arial" w:eastAsia="Arial" w:hAnsi="Arial"/>
                <w:color w:val="222222"/>
                <w:sz w:val="22"/>
                <w:szCs w:val="22"/>
              </w:rPr>
              <w:t xml:space="preserve">Checkpoint saving at every expensive step — pipeline, cleaned data, grid search, final model</w:t>
            </w:r>
          </w:p>
          <w:p>
            <w:pPr>
              <w:spacing w:after="120" w:before="0"/>
            </w:pPr>
            <w:r>
              <w:rPr>
                <w:rFonts w:ascii="Arial" w:cs="Arial" w:eastAsia="Arial" w:hAnsi="Arial"/>
                <w:b/>
                <w:bCs/>
                <w:color w:val="1F4E79"/>
                <w:sz w:val="24"/>
                <w:szCs w:val="24"/>
              </w:rPr>
              <w:t xml:space="preserve">Result</w:t>
            </w:r>
          </w:p>
          <w:p>
            <w:pPr>
              <w:spacing w:after="60" w:before="0"/>
            </w:pPr>
            <w:r>
              <w:rPr>
                <w:rFonts w:ascii="Arial" w:cs="Arial" w:eastAsia="Arial" w:hAnsi="Arial"/>
                <w:b/>
                <w:bCs/>
                <w:color w:val="375623"/>
                <w:sz w:val="24"/>
                <w:szCs w:val="24"/>
              </w:rPr>
              <w:t xml:space="preserve">Kaggle Private AUC: 0.8901  |  Kaggle Public AUC: 0.9226  |  CV Validation AUC: ~0.924</w:t>
            </w:r>
          </w:p>
          <w:p>
            <w:pPr>
              <w:spacing w:after="0" w:before="0"/>
            </w:pPr>
            <w:r>
              <w:rPr>
                <w:rFonts w:ascii="Arial" w:cs="Arial" w:eastAsia="Arial" w:hAnsi="Arial"/>
                <w:color w:val="222222"/>
                <w:sz w:val="22"/>
                <w:szCs w:val="22"/>
              </w:rPr>
              <w:t xml:space="preserve">The private score — evaluated by Kaggle on 70% of hidden test transactions, never seen during development — confirms the model generalised to genuinely unseen data. The small gap between public and private scores (0.032) validates that the methodology was sound and the model was not tuned to the leaderboard.</w:t>
            </w:r>
          </w:p>
        </w:tc>
      </w:tr>
    </w:tbl>
    <w:p>
      <w:pPr>
        <w:spacing w:after="0" w:before="200"/>
      </w:pPr>
      <w:r>
        <w:t xml:space="preserve"/>
      </w:r>
    </w:p>
    <w:p>
      <w:pPr>
        <w:spacing w:after="0" w:before="0"/>
        <w:jc w:val="center"/>
      </w:pPr>
      <w:r>
        <w:rPr>
          <w:rFonts w:ascii="Arial" w:cs="Arial" w:eastAsia="Arial" w:hAnsi="Arial"/>
          <w:i/>
          <w:iCs/>
          <w:color w:val="888888"/>
          <w:sz w:val="18"/>
          <w:szCs w:val="18"/>
        </w:rPr>
        <w:t xml:space="preserve">CIS Fraud Detection — Portfolio Review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2026-04-24T01:25:52.717Z</dcterms:created>
  <dcterms:modified xsi:type="dcterms:W3CDTF">2026-04-24T01:25:52.718Z</dcterms:modified>
</cp:coreProperties>
</file>

<file path=docProps/custom.xml><?xml version="1.0" encoding="utf-8"?>
<Properties xmlns="http://schemas.openxmlformats.org/officeDocument/2006/custom-properties" xmlns:vt="http://schemas.openxmlformats.org/officeDocument/2006/docPropsVTypes"/>
</file>