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Times New Roman" w:cs="Times New Roman" w:eastAsia="Times New Roman" w:hAnsi="Times New Roman"/>
          <w:b/>
          <w:bCs/>
          <w:sz w:val="30"/>
          <w:szCs w:val="30"/>
        </w:rPr>
        <w:t xml:space="preserve">Comparative Analysis of Electric Vehicle Markets, Charging Tariffs, and Charge-Point-Operator Business Models in ASEAN: Market Structures, Investment Attractiveness, and Indonesia’s Position (2025–2026)</w:t>
      </w:r>
    </w:p>
    <w:p>
      <w:pPr>
        <w:spacing w:after="60"/>
        <w:jc w:val="center"/>
      </w:pPr>
      <w:r>
        <w:rPr>
          <w:rFonts w:ascii="Times New Roman" w:cs="Times New Roman" w:eastAsia="Times New Roman" w:hAnsi="Times New Roman"/>
          <w:b/>
          <w:bCs/>
          <w:sz w:val="22"/>
          <w:szCs w:val="22"/>
        </w:rPr>
        <w:t xml:space="preserve">Qashtalani Haramaini</w:t>
      </w:r>
    </w:p>
    <w:p>
      <w:pPr>
        <w:spacing w:after="40"/>
        <w:jc w:val="center"/>
      </w:pPr>
      <w:r>
        <w:rPr>
          <w:rFonts w:ascii="Times New Roman" w:cs="Times New Roman" w:eastAsia="Times New Roman" w:hAnsi="Times New Roman"/>
          <w:i/>
          <w:iCs/>
          <w:sz w:val="19"/>
          <w:szCs w:val="19"/>
        </w:rPr>
        <w:t xml:space="preserve">Department of Urban Planning and Design / RACE for 2030 Program, Monash University Indonesia; Department of Electrical Engineering, Universitas Indonesia</w:t>
      </w:r>
    </w:p>
    <w:p>
      <w:pPr>
        <w:spacing w:after="300"/>
        <w:jc w:val="center"/>
      </w:pPr>
      <w:r>
        <w:rPr>
          <w:rFonts w:ascii="Times New Roman" w:cs="Times New Roman" w:eastAsia="Times New Roman" w:hAnsi="Times New Roman"/>
          <w:color w:val="555555"/>
          <w:sz w:val="19"/>
          <w:szCs w:val="19"/>
        </w:rPr>
        <w:t xml:space="preserve">Working paper — September 2026</w:t>
      </w:r>
    </w:p>
    <w:p>
      <w:pPr>
        <w:pStyle w:val="Heading1"/>
        <w:spacing w:after="160" w:before="320"/>
      </w:pPr>
      <w:r>
        <w:rPr>
          <w:rFonts w:ascii="Times New Roman" w:cs="Times New Roman" w:eastAsia="Times New Roman" w:hAnsi="Times New Roman"/>
          <w:b/>
          <w:bCs/>
          <w:color w:val="111827"/>
          <w:sz w:val="26"/>
          <w:szCs w:val="26"/>
        </w:rPr>
        <w:t xml:space="preserve">Abstract</w:t>
      </w:r>
    </w:p>
    <w:p>
      <w:pPr>
        <w:spacing w:after="160" w:line="300"/>
        <w:jc w:val="both"/>
      </w:pPr>
      <w:r>
        <w:rPr>
          <w:rFonts w:ascii="Times New Roman" w:cs="Times New Roman" w:eastAsia="Times New Roman" w:hAnsi="Times New Roman"/>
          <w:sz w:val="22"/>
          <w:szCs w:val="22"/>
        </w:rPr>
        <w:t xml:space="preserve">The ten ASEAN economies are frequently analysed as a single electric vehicle (EV) market, yet their charging-infrastructure businesses operate under structurally incompatible rules. This paper compares EV adoption, retail charging tariffs, charge-point-operator (CPO) economics, and market/regulatory structures across the six major ASEAN markets — Indonesia, Thailand, Vietnam, Malaysia, Singapore, and the Philippines — using 2025–2026 data drawn from regulators, utilities, operator rate cards, and reputable secondary research. We document a five-fold spread in retail DC fast-charging prices (from ≈US$0.15/kWh in Vietnam’s captive V-Green network and Indonesia’s regulated SPKLU tariff to ≈US$0.70/kWh in Singapore) and classify national market structures into five archetypes: captive vertical integration (Vietnam), open multi-CPO competition (Thailand), utility-anchored partnership (Indonesia), licensed-tender regulation (Singapore), and government-linked-company-led deployment (Malaysia), with a mandate-driven early market in the Philippines. No leadership verdict holds across all investment segments: Thailand leads vehicle manufacturing, Indonesia leads battery/upstream integration, Vietnam leads volume adoption and build-out speed, and Singapore leads per-station profitability. Indonesia holds the region’s largest deployment pipeline (4,655 public SPKLU units in 2025 against a 31,859-unit 2030 target) and doubled BEV sales, home-charging subscriptions, and public-charger growth in a single year, but capped per-session service fees, low utilization outside Java, and an archipelagic geography compress private CPO unit economics. We conclude with segment-specific investment guidance and policy options — including utilization-linked incentives and cross-subsidy mechanisms — that would reconcile Indonesia’s efficiency–spatial-equity trade-off in charger deployment.</w:t>
      </w:r>
    </w:p>
    <w:p>
      <w:pPr>
        <w:spacing w:after="160" w:line="30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electric vehicles; charging infrastructure; SPKLU; charge point operator; ASEAN; tariff regulation; market structure; Indonesia</w:t>
      </w:r>
    </w:p>
    <w:p>
      <w:pPr>
        <w:pStyle w:val="Heading1"/>
        <w:spacing w:after="160" w:before="320"/>
      </w:pPr>
      <w:r>
        <w:rPr>
          <w:rFonts w:ascii="Times New Roman" w:cs="Times New Roman" w:eastAsia="Times New Roman" w:hAnsi="Times New Roman"/>
          <w:b/>
          <w:bCs/>
          <w:color w:val="111827"/>
          <w:sz w:val="26"/>
          <w:szCs w:val="26"/>
        </w:rPr>
        <w:t xml:space="preserve">1. Introduction</w:t>
      </w:r>
    </w:p>
    <w:p>
      <w:pPr>
        <w:spacing w:after="160" w:line="300"/>
        <w:jc w:val="both"/>
      </w:pPr>
      <w:r>
        <w:rPr>
          <w:rFonts w:ascii="Times New Roman" w:cs="Times New Roman" w:eastAsia="Times New Roman" w:hAnsi="Times New Roman"/>
          <w:sz w:val="22"/>
          <w:szCs w:val="22"/>
        </w:rPr>
        <w:t xml:space="preserve">Southeast Asia has become one of the fastest-scaling EV regions in the world. Battery-electric vehicles (BEVs) reached 21% of new passenger-car sales across the six major ASEAN economies in the first half of 2026, up from 12% a year earlier [1], and Ember reports that ASEAN adoption levels in Singapore, Vietnam, Thailand, and Indonesia now exceed those of legacy automotive markets including the United States and the European Union [2]. Regional vehicle-market data likewise show EV sales growing 74.3% year-on-year in H1 2026, led by Vietnam (48.4% of regional EV volume) and Indonesia (22.2%) [3].</w:t>
      </w:r>
    </w:p>
    <w:p>
      <w:pPr>
        <w:spacing w:after="160" w:line="300"/>
        <w:jc w:val="both"/>
      </w:pPr>
      <w:r>
        <w:rPr>
          <w:rFonts w:ascii="Times New Roman" w:cs="Times New Roman" w:eastAsia="Times New Roman" w:hAnsi="Times New Roman"/>
          <w:sz w:val="22"/>
          <w:szCs w:val="22"/>
        </w:rPr>
        <w:t xml:space="preserve">Behind this aggregate boom, however, the region is not one market. The commercial logic of building and operating charging infrastructure — who may sell electricity to vehicles, at what price, under which licence, and with what returns — differs so sharply between neighbouring countries that investment strategies transfer poorly across borders. A charge-point operator (CPO) model that is profitable in Bangkok may be legally impossible in Hanoi and financially unattractive in Surabaya.</w:t>
      </w:r>
    </w:p>
    <w:p>
      <w:pPr>
        <w:spacing w:after="160" w:line="300"/>
        <w:jc w:val="both"/>
      </w:pPr>
      <w:r>
        <w:rPr>
          <w:rFonts w:ascii="Times New Roman" w:cs="Times New Roman" w:eastAsia="Times New Roman" w:hAnsi="Times New Roman"/>
          <w:sz w:val="22"/>
          <w:szCs w:val="22"/>
        </w:rPr>
        <w:t xml:space="preserve">This paper makes three contributions. First, it assembles a verifiable, source-dated comparison of retail charging tariffs, adoption figures, infrastructure counts, and CPO economics across the six major ASEAN markets for 2025–2026. Second, it proposes a five-archetype typology of ASEAN charging-market structures and uses it to explain observed price and deployment differences from first principles. Third, it locates Indonesia within this landscape and derives implications for investors and for Indonesian policy, with particular attention to the tension between deployment efficiency and spatial equity that arises under Indonesia’s regulated-tariff, utility-anchored model.</w:t>
      </w:r>
    </w:p>
    <w:p>
      <w:pPr>
        <w:spacing w:after="160" w:line="300"/>
        <w:jc w:val="both"/>
      </w:pPr>
      <w:r>
        <w:rPr>
          <w:rFonts w:ascii="Times New Roman" w:cs="Times New Roman" w:eastAsia="Times New Roman" w:hAnsi="Times New Roman"/>
          <w:sz w:val="22"/>
          <w:szCs w:val="22"/>
        </w:rPr>
        <w:t xml:space="preserve">The remainder of the paper is organized as follows. Section 2 describes data and methodology. Section 3 presents comparative results across adoption, pricing, market structure, infrastructure, and business economics. Section 4 discusses market leadership by investment segment and analyses Indonesia’s position. Section 5 draws policy and investment implications, and Section 6 concludes.</w:t>
      </w:r>
    </w:p>
    <w:p>
      <w:pPr>
        <w:pStyle w:val="Heading1"/>
        <w:spacing w:after="160" w:before="320"/>
      </w:pPr>
      <w:r>
        <w:rPr>
          <w:rFonts w:ascii="Times New Roman" w:cs="Times New Roman" w:eastAsia="Times New Roman" w:hAnsi="Times New Roman"/>
          <w:b/>
          <w:bCs/>
          <w:color w:val="111827"/>
          <w:sz w:val="26"/>
          <w:szCs w:val="26"/>
        </w:rPr>
        <w:t xml:space="preserve">2. Data and Methodology</w:t>
      </w:r>
    </w:p>
    <w:p>
      <w:pPr>
        <w:spacing w:after="160" w:line="300"/>
        <w:jc w:val="both"/>
      </w:pPr>
      <w:r>
        <w:rPr>
          <w:rFonts w:ascii="Times New Roman" w:cs="Times New Roman" w:eastAsia="Times New Roman" w:hAnsi="Times New Roman"/>
          <w:sz w:val="22"/>
          <w:szCs w:val="22"/>
        </w:rPr>
        <w:t xml:space="preserve">The study is a comparative desk-research analysis covering Indonesia, Thailand, Vietnam, Malaysia, Singapore, and the Philippines, with Brunei, Cambodia, Laos, and Myanmar excluded from quantitative comparison due to the absence of reliable data (an acknowledged gap; these four markets remain at very early stages of adoption). Data were collected between mid-2025 and September 2026 and prioritized in the following order: (i) primary regulatory and utility sources — Kementerian ESDM and PT PLN (Persero) for Indonesia [4–6], Thailand’s Board of Investment and Department of Energy Business [20, 22], Singapore’s Ministry of Transport and LTA [11, 12], Malaysia’s MEVnet census [14], and the Philippine Department of Energy accreditation framework [16]; (ii) operator-published rate cards (V-Green, PEA Volta, EA Anywhere, EV Station PluZ, Gentari, JomCharge, SP Mobility, Shell Recharge) [7, 10, 11, 13]; and (iii) reputable secondary research (Maybank Research, Ember, ICCT, Nikkei/KrASIA, USGS) [1, 2, 24, 25, 31].</w:t>
      </w:r>
    </w:p>
    <w:p>
      <w:pPr>
        <w:spacing w:after="160" w:line="300"/>
        <w:jc w:val="both"/>
      </w:pPr>
      <w:r>
        <w:rPr>
          <w:rFonts w:ascii="Times New Roman" w:cs="Times New Roman" w:eastAsia="Times New Roman" w:hAnsi="Times New Roman"/>
          <w:sz w:val="22"/>
          <w:szCs w:val="22"/>
        </w:rPr>
        <w:t xml:space="preserve">Three methodological cautions govern the comparisons. First, currency conversion uses indicative mid-2026 rates (USD 1 ≈ IDR 16,300; THB 33; VND 26,000; MYR 4.2; SGD 1.28; PHP 57); converted figures are approximations. Second, charger counts are not unit-comparable across countries: Indonesia reports SPKLU machines, Singapore reports charging points, and Vietnam’s V-Green reports “ports” that include two-wheeler outlets and partly planned capacity; we therefore avoid cross-country charger-density league tables and flag definitional differences wherever counts are juxtaposed. Third, where sources conflict — notably ASEAN market-size projections (Mordor Intelligence US$5.99 billion for 2026 [27] versus MarkWide Research US$18.7 billion [28]) and Indonesian 2025 sales totals (Gaikindo/Just Auto 106,644 BEV units [23] versus Focus2move 99,755 [3]) — both figures are reported and treated as vendor estimates rather than settled facts.</w:t>
      </w:r>
    </w:p>
    <w:p>
      <w:pPr>
        <w:pStyle w:val="Heading1"/>
        <w:spacing w:after="160" w:before="320"/>
      </w:pPr>
      <w:r>
        <w:rPr>
          <w:rFonts w:ascii="Times New Roman" w:cs="Times New Roman" w:eastAsia="Times New Roman" w:hAnsi="Times New Roman"/>
          <w:b/>
          <w:bCs/>
          <w:color w:val="111827"/>
          <w:sz w:val="26"/>
          <w:szCs w:val="26"/>
        </w:rPr>
        <w:t xml:space="preserve">3. Results</w:t>
      </w:r>
    </w:p>
    <w:p>
      <w:pPr>
        <w:pStyle w:val="Heading2"/>
        <w:spacing w:after="120" w:before="240"/>
      </w:pPr>
      <w:r>
        <w:rPr>
          <w:rFonts w:ascii="Times New Roman" w:cs="Times New Roman" w:eastAsia="Times New Roman" w:hAnsi="Times New Roman"/>
          <w:b/>
          <w:bCs/>
          <w:color w:val="111827"/>
          <w:sz w:val="23"/>
          <w:szCs w:val="23"/>
        </w:rPr>
        <w:t xml:space="preserve">3.1 Adoption: a three-tier region</w:t>
      </w:r>
    </w:p>
    <w:p>
      <w:pPr>
        <w:spacing w:after="160" w:line="300"/>
        <w:jc w:val="both"/>
      </w:pPr>
      <w:r>
        <w:rPr>
          <w:rFonts w:ascii="Times New Roman" w:cs="Times New Roman" w:eastAsia="Times New Roman" w:hAnsi="Times New Roman"/>
          <w:sz w:val="22"/>
          <w:szCs w:val="22"/>
        </w:rPr>
        <w:t xml:space="preserve">Figure 1 summarizes BEV penetration of new passenger-car sales in H1 2026. The region divides into three tiers: a high-adoption tier (Singapore ≈62%, Vietnam ≈35%), a mid tier (Thailand and Indonesia, each reported in a 22–30% band), and an early tier (Philippines ≈10%, Malaysia ≈6%) [1]. Outside Vietnam — whose transition is driven by the domestic champion VinFast, which sold 175,099 EVs domestically in 2025 — Chinese manufacturers account for an estimated 80–90% of ASEAN EV sales [1]. In Indonesia, BYD-group brands alone captured 51% of the 106,644 BEV units wholesaled in 2025 [23].</w:t>
      </w:r>
    </w:p>
    <w:p>
      <w:pPr>
        <w:spacing w:after="40" w:before="120"/>
        <w:jc w:val="center"/>
      </w:pPr>
      <w:r>
        <w:drawing>
          <wp:inline distT="0" distB="0" distL="0" distR="0">
            <wp:extent cx="59436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066925"/>
                    </a:xfrm>
                    <a:prstGeom prst="rect">
                      <a:avLst/>
                    </a:prstGeom>
                  </pic:spPr>
                </pic:pic>
              </a:graphicData>
            </a:graphic>
          </wp:inline>
        </w:drawing>
      </w:r>
    </w:p>
    <w:p>
      <w:pPr>
        <w:spacing w:after="240" w:before="60"/>
        <w:jc w:val="left"/>
      </w:pPr>
      <w:r>
        <w:rPr>
          <w:rFonts w:ascii="Times New Roman" w:cs="Times New Roman" w:eastAsia="Times New Roman" w:hAnsi="Times New Roman"/>
          <w:i/>
          <w:iCs/>
          <w:color w:val="444444"/>
          <w:sz w:val="18"/>
          <w:szCs w:val="18"/>
        </w:rPr>
        <w:t xml:space="preserve">Figure 1. BEV share of new passenger-car sales by country, H1 2026. Thailand and Indonesia are reported by the source as a 22–30% band; the midpoint is plotted. Source: Maybank Research via TNGlobal [1].</w:t>
      </w:r>
    </w:p>
    <w:p>
      <w:pPr>
        <w:pStyle w:val="Heading2"/>
        <w:spacing w:after="120" w:before="240"/>
      </w:pPr>
      <w:r>
        <w:rPr>
          <w:rFonts w:ascii="Times New Roman" w:cs="Times New Roman" w:eastAsia="Times New Roman" w:hAnsi="Times New Roman"/>
          <w:b/>
          <w:bCs/>
          <w:color w:val="111827"/>
          <w:sz w:val="23"/>
          <w:szCs w:val="23"/>
        </w:rPr>
        <w:t xml:space="preserve">3.2 Charging tariffs: a five-fold price spread</w:t>
      </w:r>
    </w:p>
    <w:p>
      <w:pPr>
        <w:spacing w:after="160" w:line="300"/>
        <w:jc w:val="both"/>
      </w:pPr>
      <w:r>
        <w:rPr>
          <w:rFonts w:ascii="Times New Roman" w:cs="Times New Roman" w:eastAsia="Times New Roman" w:hAnsi="Times New Roman"/>
          <w:sz w:val="22"/>
          <w:szCs w:val="22"/>
        </w:rPr>
        <w:t xml:space="preserve">Retail DC fast-charging prices span roughly a factor of five across the region (Figure 2, Table 1). Vietnam’s V-Green charges a flat 3,858 VND/kWh (≈US$0.148, VAT-inclusive) — but exclusively to VinFast vehicles [7]. Indonesia’s regulated SPKLU tariff is comparably low on the energy component (Rp2,466–2,475/kWh ≈ US$0.15) but adds a per-session service fee capped by ministerial decree at Rp25,000 for fast charging and Rp57,000 for ultra-fast charging, exclusive of VAT [4, 5]. Thailand’s open multi-CPO market prices between 5.30 and 9.50 THB/kWh with time-of-use differentiation [10]; Malaysia’s unregulated market spans RM0.85–1.80/kWh with location-based pricing and annual subscription discounts [13]; Philippine operators charge ₱20–38/kWh [17]; and Singapore’s licensed operators command S$0.55–0.89/kWh — the region’s highest — supported by high utilization and willingness to pay [11].</w:t>
      </w:r>
    </w:p>
    <w:p>
      <w:pPr>
        <w:spacing w:after="160" w:line="300"/>
        <w:jc w:val="both"/>
      </w:pPr>
      <w:r>
        <w:rPr>
          <w:rFonts w:ascii="Times New Roman" w:cs="Times New Roman" w:eastAsia="Times New Roman" w:hAnsi="Times New Roman"/>
          <w:sz w:val="22"/>
          <w:szCs w:val="22"/>
        </w:rPr>
        <w:t xml:space="preserve">The structural insight is that price levels track market structure more than cost: the two cheapest markets are precisely the two where price is set administratively (Indonesia) or strategically below cost as an ecosystem subsidy to vehicle sales (Vietnam), while the highest prices occur where scarce, licensed capacity meets constrained supply (Singapore).</w:t>
      </w:r>
    </w:p>
    <w:p>
      <w:pPr>
        <w:spacing w:after="40" w:before="120"/>
        <w:jc w:val="center"/>
      </w:pPr>
      <w:r>
        <w:drawing>
          <wp:inline distT="0" distB="0" distL="0" distR="0">
            <wp:extent cx="59436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43100"/>
                    </a:xfrm>
                    <a:prstGeom prst="rect">
                      <a:avLst/>
                    </a:prstGeom>
                  </pic:spPr>
                </pic:pic>
              </a:graphicData>
            </a:graphic>
          </wp:inline>
        </w:drawing>
      </w:r>
    </w:p>
    <w:p>
      <w:pPr>
        <w:spacing w:after="240" w:before="60"/>
        <w:jc w:val="left"/>
      </w:pPr>
      <w:r>
        <w:rPr>
          <w:rFonts w:ascii="Times New Roman" w:cs="Times New Roman" w:eastAsia="Times New Roman" w:hAnsi="Times New Roman"/>
          <w:i/>
          <w:iCs/>
          <w:color w:val="444444"/>
          <w:sz w:val="18"/>
          <w:szCs w:val="18"/>
        </w:rPr>
        <w:t xml:space="preserve">Figure 2. Retail DC fast-charging prices by market, USD/kWh at indicative mid-2026 rates. Indonesia’s bar shows the energy tariff only; a capped per-session service fee applies additionally. Sources: [4, 5, 7, 10, 11, 13,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2450"/>
        <w:gridCol w:w="1150"/>
        <w:gridCol w:w="2660"/>
      </w:tblGrid>
      <w:tr>
        <w:trPr>
          <w:tblHeader/>
        </w:trPr>
        <w:tc>
          <w:tcPr>
            <w:tcW w:type="dxa" w:w="115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Country</w:t>
            </w:r>
          </w:p>
        </w:tc>
        <w:tc>
          <w:tcPr>
            <w:tcW w:type="dxa" w:w="195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Main operators</w:t>
            </w:r>
          </w:p>
        </w:tc>
        <w:tc>
          <w:tcPr>
            <w:tcW w:type="dxa" w:w="245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DC price (local)</w:t>
            </w:r>
          </w:p>
        </w:tc>
        <w:tc>
          <w:tcPr>
            <w:tcW w:type="dxa" w:w="115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 USD/kWh</w:t>
            </w:r>
          </w:p>
        </w:tc>
        <w:tc>
          <w:tcPr>
            <w:tcW w:type="dxa" w:w="266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Tariff structure</w:t>
            </w:r>
          </w:p>
        </w:tc>
      </w:tr>
      <w:tr>
        <w:trPr>
          <w:tblHeader w:val="false"/>
        </w:trPr>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Vietnam</w:t>
            </w:r>
          </w:p>
        </w:tc>
        <w:tc>
          <w:tcPr>
            <w:tcW w:type="dxa" w:w="19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V-Green (captive)</w:t>
            </w:r>
          </w:p>
        </w:tc>
        <w:tc>
          <w:tcPr>
            <w:tcW w:type="dxa" w:w="24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3,858 VND/kWh + idle fee 1,000 VND/min after 30 min</w:t>
            </w:r>
          </w:p>
        </w:tc>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~0.148</w:t>
            </w:r>
          </w:p>
        </w:tc>
        <w:tc>
          <w:tcPr>
            <w:tcW w:type="dxa" w:w="26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Flat, VinFast vehicles only</w:t>
            </w:r>
          </w:p>
        </w:tc>
      </w:tr>
      <w:tr>
        <w:trPr>
          <w:tblHeader w:val="false"/>
        </w:trPr>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Indonesia</w:t>
            </w:r>
          </w:p>
        </w:tc>
        <w:tc>
          <w:tcPr>
            <w:tcW w:type="dxa" w:w="19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PLN SPKLU + partners</w:t>
            </w:r>
          </w:p>
        </w:tc>
        <w:tc>
          <w:tcPr>
            <w:tcW w:type="dxa" w:w="24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Rp2,466–2,475/kWh + service fee ≤Rp25k (fast) / ≤Rp57k (ultra) per session</w:t>
            </w:r>
          </w:p>
        </w:tc>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~0.15 + session fee</w:t>
            </w:r>
          </w:p>
        </w:tc>
        <w:tc>
          <w:tcPr>
            <w:tcW w:type="dxa" w:w="26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Regulated energy tariff; capped per-session service fee (Kepmen ESDM 182.K/2023)</w:t>
            </w:r>
          </w:p>
        </w:tc>
      </w:tr>
      <w:tr>
        <w:trPr>
          <w:tblHeader w:val="false"/>
        </w:trPr>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Thailand</w:t>
            </w:r>
          </w:p>
        </w:tc>
        <w:tc>
          <w:tcPr>
            <w:tcW w:type="dxa" w:w="19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PEA Volta, EA Anywhere, EV Station PluZ, Shell, Onion</w:t>
            </w:r>
          </w:p>
        </w:tc>
        <w:tc>
          <w:tcPr>
            <w:tcW w:type="dxa" w:w="24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5.30–9.50 THB/kWh</w:t>
            </w:r>
          </w:p>
        </w:tc>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0.16–0.29</w:t>
            </w:r>
          </w:p>
        </w:tc>
        <w:tc>
          <w:tcPr>
            <w:tcW w:type="dxa" w:w="26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Market-based; TOU (peak up to +40%)</w:t>
            </w:r>
          </w:p>
        </w:tc>
      </w:tr>
      <w:tr>
        <w:trPr>
          <w:tblHeader w:val="false"/>
        </w:trPr>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Malaysia</w:t>
            </w:r>
          </w:p>
        </w:tc>
        <w:tc>
          <w:tcPr>
            <w:tcW w:type="dxa" w:w="19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Gentari, JomCharge, ChargEV/TNB Electron</w:t>
            </w:r>
          </w:p>
        </w:tc>
        <w:tc>
          <w:tcPr>
            <w:tcW w:type="dxa" w:w="24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RM0.85–1.80/kWh; AC RM1.00–1.15</w:t>
            </w:r>
          </w:p>
        </w:tc>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0.20–0.43</w:t>
            </w:r>
          </w:p>
        </w:tc>
        <w:tc>
          <w:tcPr>
            <w:tcW w:type="dxa" w:w="26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Market-based; location tiers; subscriptions (Gentari Go RM350–699/yr); idle fee RM0.40/min</w:t>
            </w:r>
          </w:p>
        </w:tc>
      </w:tr>
      <w:tr>
        <w:trPr>
          <w:tblHeader w:val="false"/>
        </w:trPr>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Philippines</w:t>
            </w:r>
          </w:p>
        </w:tc>
        <w:tc>
          <w:tcPr>
            <w:tcW w:type="dxa" w:w="19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ACMobility et al. (DOE-accredited)</w:t>
            </w:r>
          </w:p>
        </w:tc>
        <w:tc>
          <w:tcPr>
            <w:tcW w:type="dxa" w:w="24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₱20–38/kWh</w:t>
            </w:r>
          </w:p>
        </w:tc>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0.35–0.67</w:t>
            </w:r>
          </w:p>
        </w:tc>
        <w:tc>
          <w:tcPr>
            <w:tcW w:type="dxa" w:w="26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Market-based; DOE accreditation required</w:t>
            </w:r>
          </w:p>
        </w:tc>
      </w:tr>
      <w:tr>
        <w:trPr>
          <w:tblHeader w:val="false"/>
        </w:trPr>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Singapore</w:t>
            </w:r>
          </w:p>
        </w:tc>
        <w:tc>
          <w:tcPr>
            <w:tcW w:type="dxa" w:w="19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SP Mobility, Shell Recharge, CDG ENGIE (29 operators)</w:t>
            </w:r>
          </w:p>
        </w:tc>
        <w:tc>
          <w:tcPr>
            <w:tcW w:type="dxa" w:w="24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S$0.55–0.89/kWh; AC S$0.45–0.82</w:t>
            </w:r>
          </w:p>
        </w:tc>
        <w:tc>
          <w:tcPr>
            <w:tcW w:type="dxa" w:w="11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0.43–0.70</w:t>
            </w:r>
          </w:p>
        </w:tc>
        <w:tc>
          <w:tcPr>
            <w:tcW w:type="dxa" w:w="26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Market pricing under LTA licence; idle fee S$0.50/min (cap S$40)</w:t>
            </w:r>
          </w:p>
        </w:tc>
      </w:tr>
    </w:tbl>
    <w:p>
      <w:pPr>
        <w:spacing w:after="240" w:before="60"/>
        <w:jc w:val="left"/>
      </w:pPr>
      <w:r>
        <w:rPr>
          <w:rFonts w:ascii="Times New Roman" w:cs="Times New Roman" w:eastAsia="Times New Roman" w:hAnsi="Times New Roman"/>
          <w:i/>
          <w:iCs/>
          <w:color w:val="444444"/>
          <w:sz w:val="18"/>
          <w:szCs w:val="18"/>
        </w:rPr>
        <w:t xml:space="preserve">Table 1. Public DC fast-charging retail tariffs and structures, 2025–2026. Sources: [4, 5, 7, 10, 11, 13, 16, 17].</w:t>
      </w:r>
    </w:p>
    <w:p>
      <w:pPr>
        <w:pStyle w:val="Heading2"/>
        <w:spacing w:after="120" w:before="240"/>
      </w:pPr>
      <w:r>
        <w:rPr>
          <w:rFonts w:ascii="Times New Roman" w:cs="Times New Roman" w:eastAsia="Times New Roman" w:hAnsi="Times New Roman"/>
          <w:b/>
          <w:bCs/>
          <w:color w:val="111827"/>
          <w:sz w:val="23"/>
          <w:szCs w:val="23"/>
        </w:rPr>
        <w:t xml:space="preserve">3.3 Market structures: five archetypes</w:t>
      </w:r>
    </w:p>
    <w:p>
      <w:pPr>
        <w:spacing w:after="160" w:line="300"/>
        <w:jc w:val="both"/>
      </w:pPr>
      <w:r>
        <w:rPr>
          <w:rFonts w:ascii="Times New Roman" w:cs="Times New Roman" w:eastAsia="Times New Roman" w:hAnsi="Times New Roman"/>
          <w:sz w:val="22"/>
          <w:szCs w:val="22"/>
        </w:rPr>
        <w:t xml:space="preserve">Table 2 summarizes the five structural archetypes. Vietnam operates a captive vertically integrated model: VinFast (manufacturer) → V-Green (infrastructure, 90% owned by VinFast’s founder) → VinFast vehicles only; independent CPO entry is effectively foreclosed except as V-Green franchisees, who invest in equipment and receive a fixed 750 VND/kWh revenue share guaranteed for at least ten years [8, 9]. Thailand operates an open multi-CPO market in which charging is licensed as an energy business under the Energy Industry Act B.E. 2550 (stations ≥1,000 kVA require a distribution licence; smaller stations notify the ERC), reinforced by EV3.0/EV3.5 demand subsidies and BOI supply-side incentives; new Department of Energy Business technical regulations effective April 2026 raise certification requirements, including mandatory emergency disconnection switches [20–22]. Indonesia operates a utility-anchored partnership model: PLN anchors deployment and retail, private partners join through the Partnership SPKLU scheme (published revenue split: 25% landowner / 73% charger provider / 2% PLN application services) and are exempted from holding their own IUPTL licences [19]. Singapore is a licensed-tender market — operators must hold an LTA licence with uptime, insurance, and data-sharing obligations — and Malaysia is GLC-led, with Petronas’ Gentari and TNB deploying alongside private CPOs who face equipment import duties and must surrender compact substations to TNB even when privately financed [12–15]. The Philippines’ EVIDA statute mandates 5% EV shares in government and corporate fleets, requires DOE accreditation for every commercial charging site, and obliges fuel stations to install chargers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500"/>
        <w:gridCol w:w="2900"/>
        <w:gridCol w:w="3910"/>
      </w:tblGrid>
      <w:tr>
        <w:trPr>
          <w:tblHeader/>
        </w:trPr>
        <w:tc>
          <w:tcPr>
            <w:tcW w:type="dxa" w:w="105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Country</w:t>
            </w:r>
          </w:p>
        </w:tc>
        <w:tc>
          <w:tcPr>
            <w:tcW w:type="dxa" w:w="150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Archetype</w:t>
            </w:r>
          </w:p>
        </w:tc>
        <w:tc>
          <w:tcPr>
            <w:tcW w:type="dxa" w:w="290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Who may sell EV charging</w:t>
            </w:r>
          </w:p>
        </w:tc>
        <w:tc>
          <w:tcPr>
            <w:tcW w:type="dxa" w:w="391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Key policy instruments</w:t>
            </w:r>
          </w:p>
        </w:tc>
      </w:tr>
      <w:tr>
        <w:trPr>
          <w:tblHeader w:val="false"/>
        </w:trPr>
        <w:tc>
          <w:tcPr>
            <w:tcW w:type="dxa" w:w="10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Vietnam</w:t>
            </w:r>
          </w:p>
        </w:tc>
        <w:tc>
          <w:tcPr>
            <w:tcW w:type="dxa" w:w="15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Captive vertical integration</w:t>
            </w:r>
          </w:p>
        </w:tc>
        <w:tc>
          <w:tcPr>
            <w:tcW w:type="dxa" w:w="2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V-Green (VinFast vehicles only); franchisees under fixed 750 VND/kWh share; PV Power pilot emerging</w:t>
            </w:r>
          </w:p>
        </w:tc>
        <w:tc>
          <w:tcPr>
            <w:tcW w:type="dxa" w:w="391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Registration-fee waiver to 2027; ecosystem-subsidized pricing</w:t>
            </w:r>
          </w:p>
        </w:tc>
      </w:tr>
      <w:tr>
        <w:trPr>
          <w:tblHeader w:val="false"/>
        </w:trPr>
        <w:tc>
          <w:tcPr>
            <w:tcW w:type="dxa" w:w="10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Thailand</w:t>
            </w:r>
          </w:p>
        </w:tc>
        <w:tc>
          <w:tcPr>
            <w:tcW w:type="dxa" w:w="15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Open multi-CPO</w:t>
            </w:r>
          </w:p>
        </w:tc>
        <w:tc>
          <w:tcPr>
            <w:tcW w:type="dxa" w:w="2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Any ERC-licensed operator (≥1,000 kVA: distribution licence; smaller: notification)</w:t>
            </w:r>
          </w:p>
        </w:tc>
        <w:tc>
          <w:tcPr>
            <w:tcW w:type="dxa" w:w="391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EV3.0/EV3.5 purchase subsidies; BOI tax holidays; DOEB technical rules (Apr 2026); TIS equipment standards 2027–28</w:t>
            </w:r>
          </w:p>
        </w:tc>
      </w:tr>
      <w:tr>
        <w:trPr>
          <w:tblHeader w:val="false"/>
        </w:trPr>
        <w:tc>
          <w:tcPr>
            <w:tcW w:type="dxa" w:w="10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Indonesia</w:t>
            </w:r>
          </w:p>
        </w:tc>
        <w:tc>
          <w:tcPr>
            <w:tcW w:type="dxa" w:w="15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Utility-anchored partnership</w:t>
            </w:r>
          </w:p>
        </w:tc>
        <w:tc>
          <w:tcPr>
            <w:tcW w:type="dxa" w:w="2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PLN and Partnership-SPKLU partners (no separate IUPTL needed); regulated tariffs</w:t>
            </w:r>
          </w:p>
        </w:tc>
        <w:tc>
          <w:tcPr>
            <w:tcW w:type="dxa" w:w="391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Kepmen ESDM 182.K/2023 tariff caps; luxury-tax (PPnBM) exemption; 30% night home-charging discount</w:t>
            </w:r>
          </w:p>
        </w:tc>
      </w:tr>
      <w:tr>
        <w:trPr>
          <w:tblHeader w:val="false"/>
        </w:trPr>
        <w:tc>
          <w:tcPr>
            <w:tcW w:type="dxa" w:w="10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Singapore</w:t>
            </w:r>
          </w:p>
        </w:tc>
        <w:tc>
          <w:tcPr>
            <w:tcW w:type="dxa" w:w="15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Licensed tender</w:t>
            </w:r>
          </w:p>
        </w:tc>
        <w:tc>
          <w:tcPr>
            <w:tcW w:type="dxa" w:w="2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LTA-licensed operators only (29 as of Jul 2026); certified &amp; registered chargers</w:t>
            </w:r>
          </w:p>
        </w:tc>
        <w:tc>
          <w:tcPr>
            <w:tcW w:type="dxa" w:w="391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EV Common Charger Grant; 60,000-point 2030 target; HDB EV-ready towns</w:t>
            </w:r>
          </w:p>
        </w:tc>
      </w:tr>
      <w:tr>
        <w:trPr>
          <w:tblHeader w:val="false"/>
        </w:trPr>
        <w:tc>
          <w:tcPr>
            <w:tcW w:type="dxa" w:w="10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Malaysia</w:t>
            </w:r>
          </w:p>
        </w:tc>
        <w:tc>
          <w:tcPr>
            <w:tcW w:type="dxa" w:w="15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GLC-led hybrid</w:t>
            </w:r>
          </w:p>
        </w:tc>
        <w:tc>
          <w:tcPr>
            <w:tcW w:type="dxa" w:w="2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Gentari/TNB Electron plus private CPOs (no government funding; import duties; substation surrender to TNB)</w:t>
            </w:r>
          </w:p>
        </w:tc>
        <w:tc>
          <w:tcPr>
            <w:tcW w:type="dxa" w:w="391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20% EV sales target 2030; import/excise waivers for EVs; MEVnet monitoring</w:t>
            </w:r>
          </w:p>
        </w:tc>
      </w:tr>
      <w:tr>
        <w:trPr>
          <w:tblHeader w:val="false"/>
        </w:trPr>
        <w:tc>
          <w:tcPr>
            <w:tcW w:type="dxa" w:w="105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Philippines</w:t>
            </w:r>
          </w:p>
        </w:tc>
        <w:tc>
          <w:tcPr>
            <w:tcW w:type="dxa" w:w="15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Mandate-driven early market</w:t>
            </w:r>
          </w:p>
        </w:tc>
        <w:tc>
          <w:tcPr>
            <w:tcW w:type="dxa" w:w="2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DOE-accredited providers only; per-site registration</w:t>
            </w:r>
          </w:p>
        </w:tc>
        <w:tc>
          <w:tcPr>
            <w:tcW w:type="dxa" w:w="391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EVIDA (RA 11697): 5% fleet mandate; zero-tariff imports; fuel-station charger obligation</w:t>
            </w:r>
          </w:p>
        </w:tc>
      </w:tr>
    </w:tbl>
    <w:p>
      <w:pPr>
        <w:spacing w:after="240" w:before="60"/>
        <w:jc w:val="left"/>
      </w:pPr>
      <w:r>
        <w:rPr>
          <w:rFonts w:ascii="Times New Roman" w:cs="Times New Roman" w:eastAsia="Times New Roman" w:hAnsi="Times New Roman"/>
          <w:i/>
          <w:iCs/>
          <w:color w:val="444444"/>
          <w:sz w:val="18"/>
          <w:szCs w:val="18"/>
        </w:rPr>
        <w:t xml:space="preserve">Table 2. Market-structure archetypes and legal entry conditions for charging businesses. Sources: [8, 9, 12–16, 19–22].</w:t>
      </w:r>
    </w:p>
    <w:p>
      <w:pPr>
        <w:pStyle w:val="Heading2"/>
        <w:spacing w:after="120" w:before="240"/>
      </w:pPr>
      <w:r>
        <w:rPr>
          <w:rFonts w:ascii="Times New Roman" w:cs="Times New Roman" w:eastAsia="Times New Roman" w:hAnsi="Times New Roman"/>
          <w:b/>
          <w:bCs/>
          <w:color w:val="111827"/>
          <w:sz w:val="23"/>
          <w:szCs w:val="23"/>
        </w:rPr>
        <w:t xml:space="preserve">3.4 Infrastructure deployment: installed base versus targets</w:t>
      </w:r>
    </w:p>
    <w:p>
      <w:pPr>
        <w:spacing w:after="160" w:line="300"/>
        <w:jc w:val="both"/>
      </w:pPr>
      <w:r>
        <w:rPr>
          <w:rFonts w:ascii="Times New Roman" w:cs="Times New Roman" w:eastAsia="Times New Roman" w:hAnsi="Times New Roman"/>
          <w:sz w:val="22"/>
          <w:szCs w:val="22"/>
        </w:rPr>
        <w:t xml:space="preserve">Figure 3 contrasts installed public charging with national 2030 targets. Indonesia shows the region’s largest absolute gap: 4,655 PLN-network SPKLU units at end-2025 (up 44% from 3,223 in 2024; 633 ultra-fast, 482 fast, 2,681 medium, 859 standard, across 3,007 locations) against a 31,859-unit BKPM target [4, 6, 18]. Singapore has installed 30,500 points (March 2026) toward its 60,000-point target, with every HDB town already EV-ready [12]. Thailand reports roughly 11,500 public points against a 12,000 DC-point 2030 target, while Malaysia’s 5,839 units (March 2026) trail a 10,000-unit target that has been publicly delayed [10, 14, 15]. Vietnam is excluded from the chart because V-Green’s reported &gt;150,000 “ports” (63 provinces, targeting 500,000 by 2028, including two-wheeler outlets and partly planned capacity) are not unit-comparable [29].</w:t>
      </w:r>
    </w:p>
    <w:p>
      <w:pPr>
        <w:spacing w:after="40" w:before="120"/>
        <w:jc w:val="center"/>
      </w:pPr>
      <w:r>
        <w:drawing>
          <wp:inline distT="0" distB="0" distL="0" distR="0">
            <wp:extent cx="59436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19350"/>
                    </a:xfrm>
                    <a:prstGeom prst="rect">
                      <a:avLst/>
                    </a:prstGeom>
                  </pic:spPr>
                </pic:pic>
              </a:graphicData>
            </a:graphic>
          </wp:inline>
        </w:drawing>
      </w:r>
    </w:p>
    <w:p>
      <w:pPr>
        <w:spacing w:after="240" w:before="60"/>
        <w:jc w:val="left"/>
      </w:pPr>
      <w:r>
        <w:rPr>
          <w:rFonts w:ascii="Times New Roman" w:cs="Times New Roman" w:eastAsia="Times New Roman" w:hAnsi="Times New Roman"/>
          <w:i/>
          <w:iCs/>
          <w:color w:val="444444"/>
          <w:sz w:val="18"/>
          <w:szCs w:val="18"/>
        </w:rPr>
        <w:t xml:space="preserve">Figure 3. Installed public charging versus national targets. Definitions differ by country (units vs points); see Section 2. Sources: [4, 10, 12, 14, 15, 18].</w:t>
      </w:r>
    </w:p>
    <w:p>
      <w:pPr>
        <w:pStyle w:val="Heading2"/>
        <w:spacing w:after="120" w:before="240"/>
      </w:pPr>
      <w:r>
        <w:rPr>
          <w:rFonts w:ascii="Times New Roman" w:cs="Times New Roman" w:eastAsia="Times New Roman" w:hAnsi="Times New Roman"/>
          <w:b/>
          <w:bCs/>
          <w:color w:val="111827"/>
          <w:sz w:val="23"/>
          <w:szCs w:val="23"/>
        </w:rPr>
        <w:t xml:space="preserve">3.5 CPO business economics</w:t>
      </w:r>
    </w:p>
    <w:p>
      <w:pPr>
        <w:spacing w:after="160" w:line="300"/>
        <w:jc w:val="both"/>
      </w:pPr>
      <w:r>
        <w:rPr>
          <w:rFonts w:ascii="Times New Roman" w:cs="Times New Roman" w:eastAsia="Times New Roman" w:hAnsi="Times New Roman"/>
          <w:sz w:val="22"/>
          <w:szCs w:val="22"/>
        </w:rPr>
        <w:t xml:space="preserve">Hardware capital costs are broadly uniform across the region because equipment is globally traded: AC Level-2 units install at US$3,500–15,000 per port; 50 kW DC hardware costs US$20,000–50,000; 120–180 kW units US$65,000–90,000; and 350 kW-class ultra-fast units US$100,000–175,000, with ultra-fast hardware prices having fallen roughly 20% between 2022 and 2024 [32]. Grid-connection costs can exceed 40% of total investment where a new transformer or substation is required. Recurring operating costs include network fees (US$15–50/charger/month), payment processing (2.5–4.5% plus per-transaction fees), software and connectivity (US$25–60/charger/month combined), and preventive maintenance (US$200–500/charger/year) [32].</w:t>
      </w:r>
    </w:p>
    <w:p>
      <w:pPr>
        <w:spacing w:after="160" w:line="300"/>
        <w:jc w:val="both"/>
      </w:pPr>
      <w:r>
        <w:rPr>
          <w:rFonts w:ascii="Times New Roman" w:cs="Times New Roman" w:eastAsia="Times New Roman" w:hAnsi="Times New Roman"/>
          <w:sz w:val="22"/>
          <w:szCs w:val="22"/>
        </w:rPr>
        <w:t xml:space="preserve">What differs across countries is the revenue side. In Indonesia, BKPM cites Rp300–500 million (≈US$18,000–31,000) investment per SPKLU point [18], and an Indonesian feasibility study of a PLN service unit in Makassar found fast charging financially viable (NPV Rp108 million; IRR 45%) while ultra-fast charging failed to reach payback within five years — identifying utilization, not hardware cost, as the binding constraint [30]. Indonesia’s Partnership SPKLU scheme lowers entry barriers (partners need no IUPTL; minimum 6×7 m site; four cooperation models including investor-own–investor-operate) but the capped per-session service fee bounds the revenue ceiling [19]. In Vietnam, the V-Green franchise transfers utilization risk to the franchisor via a fixed 750 VND/kWh fee guaranteed ≥10 years, backed by a 10-trillion-VND (≈US$385 million) two-year investment commitment — an attractive yield instrument, but one that caps upside and serves VinFast vehicles only [8, 9, 29].</w:t>
      </w:r>
    </w:p>
    <w:p>
      <w:pPr>
        <w:pStyle w:val="Heading1"/>
        <w:spacing w:after="160" w:before="320"/>
      </w:pPr>
      <w:r>
        <w:rPr>
          <w:rFonts w:ascii="Times New Roman" w:cs="Times New Roman" w:eastAsia="Times New Roman" w:hAnsi="Times New Roman"/>
          <w:b/>
          <w:bCs/>
          <w:color w:val="111827"/>
          <w:sz w:val="26"/>
          <w:szCs w:val="26"/>
        </w:rPr>
        <w:t xml:space="preserve">4. Discussion</w:t>
      </w:r>
    </w:p>
    <w:p>
      <w:pPr>
        <w:pStyle w:val="Heading2"/>
        <w:spacing w:after="120" w:before="240"/>
      </w:pPr>
      <w:r>
        <w:rPr>
          <w:rFonts w:ascii="Times New Roman" w:cs="Times New Roman" w:eastAsia="Times New Roman" w:hAnsi="Times New Roman"/>
          <w:b/>
          <w:bCs/>
          <w:color w:val="111827"/>
          <w:sz w:val="23"/>
          <w:szCs w:val="23"/>
        </w:rPr>
        <w:t xml:space="preserve">4.1 Market leadership is segment-specific</w:t>
      </w:r>
    </w:p>
    <w:p>
      <w:pPr>
        <w:spacing w:after="160" w:line="300"/>
        <w:jc w:val="both"/>
      </w:pPr>
      <w:r>
        <w:rPr>
          <w:rFonts w:ascii="Times New Roman" w:cs="Times New Roman" w:eastAsia="Times New Roman" w:hAnsi="Times New Roman"/>
          <w:sz w:val="22"/>
          <w:szCs w:val="22"/>
        </w:rPr>
        <w:t xml:space="preserve">No single country “leads ASEAN” once the question is disaggregated by investment segment. Thailand leads vehicle manufacturing: the Board of Investment reports over US$4.1 billion (≈137 billion baht) in pledges across 198 EV supply-chain projects, including US$1.18 billion in 18 BEV projects establishing domestic production capacity above 370,000 units per year [20]. Indonesia leads battery and upstream integration, mining roughly 2.6 of the world’s 3.9 million tonnes of nickel in 2025 (≈67%) [25] and hosting the near-US$6 billion CATL–IBC–Antam Indonesia Battery Integration Project (first-phase 6.9 GWh, groundbreaking July 2025) alongside the operational 10 GWh Hyundai–LGES cell plant — although the April 2025 cancellation of the LG-led US$7.7 billion “Grand Package” increased dependence on Chinese partners [24, 26]. Vietnam leads adoption velocity and build-out speed through its captive model, and Singapore leads per-station profitability through the region’s highest tariffs and utilization. For independent CPO investment specifically, Thailand and Malaysia are the most open and therefore most attractive markets; Indonesia offers scale within PLN’s framework; Vietnam is effectively closed.</w:t>
      </w:r>
    </w:p>
    <w:p>
      <w:pPr>
        <w:spacing w:after="160" w:line="300"/>
        <w:jc w:val="both"/>
      </w:pPr>
      <w:r>
        <w:rPr>
          <w:rFonts w:ascii="Times New Roman" w:cs="Times New Roman" w:eastAsia="Times New Roman" w:hAnsi="Times New Roman"/>
          <w:sz w:val="22"/>
          <w:szCs w:val="22"/>
        </w:rPr>
        <w:t xml:space="preserve">Figure 4 positions the six markets on two axes — CPO market openness (authors’ qualitative coding of the Section 3.3 evidence) and BEV penetration — with bubble size proportional to installed public charging. The striking feature is the empty upper-right quadrant: no ASEAN market yet combines full openness with high adoption. Vietnam bought speed with captivity; Singapore bought quality with licensing; Thailand and Malaysia are open but must still grow demand; Indonesia sits deliberately mid-spectrum, trading private-margin freedom for regulated affordability.</w:t>
      </w:r>
    </w:p>
    <w:p>
      <w:pPr>
        <w:spacing w:after="40" w:before="12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48000"/>
                    </a:xfrm>
                    <a:prstGeom prst="rect">
                      <a:avLst/>
                    </a:prstGeom>
                  </pic:spPr>
                </pic:pic>
              </a:graphicData>
            </a:graphic>
          </wp:inline>
        </w:drawing>
      </w:r>
    </w:p>
    <w:p>
      <w:pPr>
        <w:spacing w:after="240" w:before="60"/>
        <w:jc w:val="left"/>
      </w:pPr>
      <w:r>
        <w:rPr>
          <w:rFonts w:ascii="Times New Roman" w:cs="Times New Roman" w:eastAsia="Times New Roman" w:hAnsi="Times New Roman"/>
          <w:i/>
          <w:iCs/>
          <w:color w:val="444444"/>
          <w:sz w:val="18"/>
          <w:szCs w:val="18"/>
        </w:rPr>
        <w:t xml:space="preserve">Figure 4. CPO market openness versus BEV adoption, H1 2026. Openness scores are the authors’ qualitative assessment; bubble sizes indicate installed public chargers (Vietnam nominal). Sources: [1] and Section 3 evidence.</w:t>
      </w:r>
    </w:p>
    <w:p>
      <w:pPr>
        <w:spacing w:after="160" w:line="300"/>
        <w:jc w:val="both"/>
      </w:pPr>
      <w:r>
        <w:rPr>
          <w:rFonts w:ascii="Times New Roman" w:cs="Times New Roman" w:eastAsia="Times New Roman" w:hAnsi="Times New Roman"/>
          <w:sz w:val="22"/>
          <w:szCs w:val="22"/>
        </w:rPr>
        <w:t xml:space="preserve">Market-size projections should be read with caution: Mordor Intelligence estimates the ASEAN EV market at US$5.99 billion in 2026 growing to US$23.58 billion by 2031 (CAGR 31.55%, with DC fast charging at 32.85%) [27], while MarkWide Research estimates US$18.7 billion in 2026 reaching US$135.36 billion by 2035 (CAGR 24.60%) [28]. The three-fold divergence for the same base year reflects differing scope definitions; both are vendor estimates.</w:t>
      </w:r>
    </w:p>
    <w:p>
      <w:pPr>
        <w:pStyle w:val="Heading2"/>
        <w:spacing w:after="120" w:before="240"/>
      </w:pPr>
      <w:r>
        <w:rPr>
          <w:rFonts w:ascii="Times New Roman" w:cs="Times New Roman" w:eastAsia="Times New Roman" w:hAnsi="Times New Roman"/>
          <w:b/>
          <w:bCs/>
          <w:color w:val="111827"/>
          <w:sz w:val="23"/>
          <w:szCs w:val="23"/>
        </w:rPr>
        <w:t xml:space="preserve">4.2 Indonesia’s position: structural strength, unit-economic fragility</w:t>
      </w:r>
    </w:p>
    <w:p>
      <w:pPr>
        <w:spacing w:after="160" w:line="300"/>
        <w:jc w:val="both"/>
      </w:pPr>
      <w:r>
        <w:rPr>
          <w:rFonts w:ascii="Times New Roman" w:cs="Times New Roman" w:eastAsia="Times New Roman" w:hAnsi="Times New Roman"/>
          <w:sz w:val="22"/>
          <w:szCs w:val="22"/>
        </w:rPr>
        <w:t xml:space="preserve">Indonesia’s 2025 performance was unambiguous on the demand side: BEV sales more than doubled to 106,644 units [23], the public SPKLU network grew 44%, and PLN home-charging subscriptions more than doubled to 70,250 customers, stimulated by a 30% night-tariff discount [4] (Figure 5). Ember places Indonesia’s 2025 BEV share at ≈15%, surpassing the United States for the first time [2].</w:t>
      </w:r>
    </w:p>
    <w:p>
      <w:pPr>
        <w:spacing w:after="40" w:before="120"/>
        <w:jc w:val="center"/>
      </w:pPr>
      <w:r>
        <w:drawing>
          <wp:inline distT="0" distB="0" distL="0" distR="0">
            <wp:extent cx="59436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33625"/>
                    </a:xfrm>
                    <a:prstGeom prst="rect">
                      <a:avLst/>
                    </a:prstGeom>
                  </pic:spPr>
                </pic:pic>
              </a:graphicData>
            </a:graphic>
          </wp:inline>
        </w:drawing>
      </w:r>
    </w:p>
    <w:p>
      <w:pPr>
        <w:spacing w:after="240" w:before="60"/>
        <w:jc w:val="left"/>
      </w:pPr>
      <w:r>
        <w:rPr>
          <w:rFonts w:ascii="Times New Roman" w:cs="Times New Roman" w:eastAsia="Times New Roman" w:hAnsi="Times New Roman"/>
          <w:i/>
          <w:iCs/>
          <w:color w:val="444444"/>
          <w:sz w:val="18"/>
          <w:szCs w:val="18"/>
        </w:rPr>
        <w:t xml:space="preserve">Figure 5. Indonesia’s 2024→2025 growth across public charging, home charging, and BEV sales. 2024 BEV sales shown at ≈52,500 units (2025 reported as “more than double” 2024). Sources: [4, 23].</w:t>
      </w:r>
    </w:p>
    <w:p>
      <w:pPr>
        <w:spacing w:after="160" w:line="300"/>
        <w:jc w:val="both"/>
      </w:pPr>
      <w:r>
        <w:rPr>
          <w:rFonts w:ascii="Times New Roman" w:cs="Times New Roman" w:eastAsia="Times New Roman" w:hAnsi="Times New Roman"/>
          <w:sz w:val="22"/>
          <w:szCs w:val="22"/>
        </w:rPr>
        <w:t xml:space="preserve">Table 3 synthesizes Indonesia’s position. The core tension is that the same regulatory choices that make charging affordable and deployment coordinated — regulated energy tariffs, capped session fees, PLN anchoring — also compress the margins that would draw independent capital to low-utilization locations. The Makassar feasibility evidence [30] implies that under current caps, ultra-fast stations outside high-traffic Java corridors are not privately bankable; deployment there will remain PLN-led or subsidy-dependent. This creates a direct efficiency–equity trade-off: building where utilization is high maximizes returns but concentrates access in Jabodetabek and Java, while building where access is lowest requires accepting sub-commercial returns — the central spatial-equity problem for SPKLU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4160"/>
      </w:tblGrid>
      <w:tr>
        <w:trPr>
          <w:tblHeader/>
        </w:trPr>
        <w:tc>
          <w:tcPr>
            <w:tcW w:type="dxa" w:w="130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Dimension</w:t>
            </w:r>
          </w:p>
        </w:tc>
        <w:tc>
          <w:tcPr>
            <w:tcW w:type="dxa" w:w="390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Strengths</w:t>
            </w:r>
          </w:p>
        </w:tc>
        <w:tc>
          <w:tcPr>
            <w:tcW w:type="dxa" w:w="4160"/>
            <w:shd w:fill="E5E7EB" w:val="clear"/>
            <w:tcMar>
              <w:top w:type="dxa" w:w="60"/>
              <w:left w:type="dxa" w:w="80"/>
              <w:bottom w:type="dxa" w:w="60"/>
              <w:right w:type="dxa" w:w="80"/>
            </w:tcMar>
          </w:tcPr>
          <w:p>
            <w:pPr>
              <w:spacing w:after="20" w:line="240"/>
            </w:pPr>
            <w:r>
              <w:rPr>
                <w:rFonts w:ascii="Times New Roman" w:cs="Times New Roman" w:eastAsia="Times New Roman" w:hAnsi="Times New Roman"/>
                <w:b/>
                <w:bCs/>
                <w:sz w:val="18"/>
                <w:szCs w:val="18"/>
              </w:rPr>
              <w:t xml:space="preserve">Weaknesses / risks</w:t>
            </w:r>
          </w:p>
        </w:tc>
      </w:tr>
      <w:tr>
        <w:trPr>
          <w:tblHeader w:val="false"/>
        </w:trPr>
        <w:tc>
          <w:tcPr>
            <w:tcW w:type="dxa" w:w="13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Demand</w:t>
            </w:r>
          </w:p>
        </w:tc>
        <w:tc>
          <w:tcPr>
            <w:tcW w:type="dxa" w:w="3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BEV sales doubled in 2025 (106,644 units); ≈15% BEV share, surpassing the US; largest ASEAN auto market by volume</w:t>
            </w:r>
          </w:p>
        </w:tc>
        <w:tc>
          <w:tcPr>
            <w:tcW w:type="dxa" w:w="41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Chinese brands (BYD group 51%) dominate — value capture partly offshore; 2025 sales figures differ across sources (99,755–106,644)</w:t>
            </w:r>
          </w:p>
        </w:tc>
      </w:tr>
      <w:tr>
        <w:trPr>
          <w:tblHeader w:val="false"/>
        </w:trPr>
        <w:tc>
          <w:tcPr>
            <w:tcW w:type="dxa" w:w="13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Infrastructure</w:t>
            </w:r>
          </w:p>
        </w:tc>
        <w:tc>
          <w:tcPr>
            <w:tcW w:type="dxa" w:w="3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Largest deployment pipeline (4,655 → 31,859-unit target); +44% growth 2025; HCS subscriptions +118%; Partnership scheme lowers entry barriers (no IUPTL needed)</w:t>
            </w:r>
          </w:p>
        </w:tc>
        <w:tc>
          <w:tcPr>
            <w:tcW w:type="dxa" w:w="41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Utilization low outside Java; ultra-fast NPV negative in 5-yr horizon (Makassar case); archipelagic logistics; 1:21 charger-to-EV ratio vs 1:17 target</w:t>
            </w:r>
          </w:p>
        </w:tc>
      </w:tr>
      <w:tr>
        <w:trPr>
          <w:tblHeader w:val="false"/>
        </w:trPr>
        <w:tc>
          <w:tcPr>
            <w:tcW w:type="dxa" w:w="13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Pricing &amp; returns</w:t>
            </w:r>
          </w:p>
        </w:tc>
        <w:tc>
          <w:tcPr>
            <w:tcW w:type="dxa" w:w="3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Affordable, predictable regulated tariffs; consumer trust; 30% night home-charging discount drives HCS uptake</w:t>
            </w:r>
          </w:p>
        </w:tc>
        <w:tc>
          <w:tcPr>
            <w:tcW w:type="dxa" w:w="41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Per-session service-fee caps (Rp25k/57k) bound CPO revenue; no TOU at public chargers; margin thinner than Thailand/Malaysia</w:t>
            </w:r>
          </w:p>
        </w:tc>
      </w:tr>
      <w:tr>
        <w:trPr>
          <w:tblHeader w:val="false"/>
        </w:trPr>
        <w:tc>
          <w:tcPr>
            <w:tcW w:type="dxa" w:w="13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Upstream</w:t>
            </w:r>
          </w:p>
        </w:tc>
        <w:tc>
          <w:tcPr>
            <w:tcW w:type="dxa" w:w="3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≈67% of world nickel mine output; CATL ≈US$6bn integrated project; Hyundai–LGES 10 GWh operating</w:t>
            </w:r>
          </w:p>
        </w:tc>
        <w:tc>
          <w:tcPr>
            <w:tcW w:type="dxa" w:w="41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LG-led US$7.7bn project cancelled (Apr 2025) → concentration risk on Chinese partners; ≈66% coal grid weakens EV carbon case</w:t>
            </w:r>
          </w:p>
        </w:tc>
      </w:tr>
      <w:tr>
        <w:trPr>
          <w:tblHeader w:val="false"/>
        </w:trPr>
        <w:tc>
          <w:tcPr>
            <w:tcW w:type="dxa" w:w="13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Investment access</w:t>
            </w:r>
          </w:p>
        </w:tc>
        <w:tc>
          <w:tcPr>
            <w:tcW w:type="dxa" w:w="390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PMA feasible at scale; four PLN partnership models incl. investor-own–operate; 25/73/2 revenue split published</w:t>
            </w:r>
          </w:p>
        </w:tc>
        <w:tc>
          <w:tcPr>
            <w:tcW w:type="dxa" w:w="4160"/>
            <w:tcMar>
              <w:top w:type="dxa" w:w="60"/>
              <w:left w:type="dxa" w:w="80"/>
              <w:bottom w:type="dxa" w:w="60"/>
              <w:right w:type="dxa" w:w="80"/>
            </w:tcMar>
          </w:tcPr>
          <w:p>
            <w:pPr>
              <w:spacing w:after="20" w:line="240"/>
            </w:pPr>
            <w:r>
              <w:rPr>
                <w:rFonts w:ascii="Times New Roman" w:cs="Times New Roman" w:eastAsia="Times New Roman" w:hAnsi="Times New Roman"/>
                <w:b w:val="false"/>
                <w:bCs w:val="false"/>
                <w:sz w:val="18"/>
                <w:szCs w:val="18"/>
              </w:rPr>
              <w:t xml:space="preserve">Rp10bn minimum foreign investment per project area deters small entrants; utility-anchored structure limits pricing innovation</w:t>
            </w:r>
          </w:p>
        </w:tc>
      </w:tr>
    </w:tbl>
    <w:p>
      <w:pPr>
        <w:spacing w:after="240" w:before="60"/>
        <w:jc w:val="left"/>
      </w:pPr>
      <w:r>
        <w:rPr>
          <w:rFonts w:ascii="Times New Roman" w:cs="Times New Roman" w:eastAsia="Times New Roman" w:hAnsi="Times New Roman"/>
          <w:i/>
          <w:iCs/>
          <w:color w:val="444444"/>
          <w:sz w:val="18"/>
          <w:szCs w:val="18"/>
        </w:rPr>
        <w:t xml:space="preserve">Table 3. Indonesia’s competitive position: synthesis. Sources: [2, 4, 18, 19, 23–26, 30].</w:t>
      </w:r>
    </w:p>
    <w:p>
      <w:pPr>
        <w:pStyle w:val="Heading1"/>
        <w:spacing w:after="160" w:before="320"/>
      </w:pPr>
      <w:r>
        <w:rPr>
          <w:rFonts w:ascii="Times New Roman" w:cs="Times New Roman" w:eastAsia="Times New Roman" w:hAnsi="Times New Roman"/>
          <w:b/>
          <w:bCs/>
          <w:color w:val="111827"/>
          <w:sz w:val="26"/>
          <w:szCs w:val="26"/>
        </w:rPr>
        <w:t xml:space="preserve">5. Policy and Investment Implications</w:t>
      </w:r>
    </w:p>
    <w:p>
      <w:pPr>
        <w:spacing w:after="160" w:line="300"/>
        <w:jc w:val="both"/>
      </w:pPr>
      <w:r>
        <w:rPr>
          <w:rFonts w:ascii="Times New Roman" w:cs="Times New Roman" w:eastAsia="Times New Roman" w:hAnsi="Times New Roman"/>
          <w:sz w:val="22"/>
          <w:szCs w:val="22"/>
        </w:rPr>
        <w:t xml:space="preserve">For investors, the segment-specific reading yields four operational rules:</w:t>
      </w:r>
    </w:p>
    <w:p>
      <w:pPr>
        <w:pStyle w:val="ListParagraph"/>
        <w:numPr>
          <w:ilvl w:val="0"/>
          <w:numId w:val="2"/>
        </w:numPr>
        <w:spacing w:after="80" w:line="280"/>
        <w:jc w:val="both"/>
      </w:pPr>
      <w:r>
        <w:rPr>
          <w:rFonts w:ascii="Times New Roman" w:cs="Times New Roman" w:eastAsia="Times New Roman" w:hAnsi="Times New Roman"/>
          <w:sz w:val="22"/>
          <w:szCs w:val="22"/>
        </w:rPr>
        <w:t xml:space="preserve">Independent CPO entry: prioritize Thailand and Malaysia (market pricing, open licensing); in Indonesia, enter via the PLN Partnership scheme (investor-own–investor-operate) in high-utilization Java corridors; avoid standalone ultra-fast stations outside Java absent subsidy.</w:t>
      </w:r>
    </w:p>
    <w:p>
      <w:pPr>
        <w:pStyle w:val="ListParagraph"/>
        <w:numPr>
          <w:ilvl w:val="0"/>
          <w:numId w:val="2"/>
        </w:numPr>
        <w:spacing w:after="80" w:line="280"/>
        <w:jc w:val="both"/>
      </w:pPr>
      <w:r>
        <w:rPr>
          <w:rFonts w:ascii="Times New Roman" w:cs="Times New Roman" w:eastAsia="Times New Roman" w:hAnsi="Times New Roman"/>
          <w:sz w:val="22"/>
          <w:szCs w:val="22"/>
        </w:rPr>
        <w:t xml:space="preserve">Vietnam: treat V-Green franchising as a fixed-income-like instrument (750 VND/kWh, ≥10-year guarantee) rather than a growth equity play; do not attempt independent network build-out.</w:t>
      </w:r>
    </w:p>
    <w:p>
      <w:pPr>
        <w:pStyle w:val="ListParagraph"/>
        <w:numPr>
          <w:ilvl w:val="0"/>
          <w:numId w:val="2"/>
        </w:numPr>
        <w:spacing w:after="80" w:line="280"/>
        <w:jc w:val="both"/>
      </w:pPr>
      <w:r>
        <w:rPr>
          <w:rFonts w:ascii="Times New Roman" w:cs="Times New Roman" w:eastAsia="Times New Roman" w:hAnsi="Times New Roman"/>
          <w:sz w:val="22"/>
          <w:szCs w:val="22"/>
        </w:rPr>
        <w:t xml:space="preserve">Manufacturing and upstream: vehicle assembly and export — Thailand (BOI/EEC); battery value chain — Indonesia (CATL ecosystem, IBC joint ventures).</w:t>
      </w:r>
    </w:p>
    <w:p>
      <w:pPr>
        <w:pStyle w:val="ListParagraph"/>
        <w:numPr>
          <w:ilvl w:val="0"/>
          <w:numId w:val="2"/>
        </w:numPr>
        <w:spacing w:after="80" w:line="280"/>
        <w:jc w:val="both"/>
      </w:pPr>
      <w:r>
        <w:rPr>
          <w:rFonts w:ascii="Times New Roman" w:cs="Times New Roman" w:eastAsia="Times New Roman" w:hAnsi="Times New Roman"/>
          <w:sz w:val="22"/>
          <w:szCs w:val="22"/>
        </w:rPr>
        <w:t xml:space="preserve">Re-rating triggers to monitor: relaxation of Indonesia’s session-fee caps or utilization rising above ≈8–10% outside Java; realization of Malaysia’s delayed 10,000-charger target; resolution of Vietnam’s EV electricity-tariff debate; implementation of Thailand’s April 2026 DOEB technical rules (which raise certification bars and favour internationally documented hardware in tenders).</w:t>
      </w:r>
    </w:p>
    <w:p>
      <w:pPr>
        <w:spacing w:after="160" w:line="300"/>
        <w:jc w:val="both"/>
      </w:pPr>
      <w:r>
        <w:rPr>
          <w:rFonts w:ascii="Times New Roman" w:cs="Times New Roman" w:eastAsia="Times New Roman" w:hAnsi="Times New Roman"/>
          <w:sz w:val="22"/>
          <w:szCs w:val="22"/>
        </w:rPr>
        <w:t xml:space="preserve">For Indonesian policymakers, three options follow directly from the evidence. First, utilization-linked incentives or cross-subsidy mechanisms for ex-Java locations would reconcile the efficiency–equity trade-off without abandoning tariff protection for consumers. Second, differentiating the service-fee cap by location class (or converting it to a per-kWh margin with a consumer-price ceiling) would restore private bankability at the margin while preserving affordability. Third, accelerating interoperability — CCS2 hardware standards with OCPP-based roaming across PLN and partner networks — would raise effective utilization of the existing asset base before new capital is deployed.</w:t>
      </w:r>
    </w:p>
    <w:p>
      <w:pPr>
        <w:pStyle w:val="Heading1"/>
        <w:spacing w:after="160" w:before="320"/>
      </w:pPr>
      <w:r>
        <w:rPr>
          <w:rFonts w:ascii="Times New Roman" w:cs="Times New Roman" w:eastAsia="Times New Roman" w:hAnsi="Times New Roman"/>
          <w:b/>
          <w:bCs/>
          <w:color w:val="111827"/>
          <w:sz w:val="26"/>
          <w:szCs w:val="26"/>
        </w:rPr>
        <w:t xml:space="preserve">6. Conclusion</w:t>
      </w:r>
    </w:p>
    <w:p>
      <w:pPr>
        <w:spacing w:after="160" w:line="300"/>
        <w:jc w:val="both"/>
      </w:pPr>
      <w:r>
        <w:rPr>
          <w:rFonts w:ascii="Times New Roman" w:cs="Times New Roman" w:eastAsia="Times New Roman" w:hAnsi="Times New Roman"/>
          <w:sz w:val="22"/>
          <w:szCs w:val="22"/>
        </w:rPr>
        <w:t xml:space="preserve">ASEAN’s EV boom is real but structurally heterogeneous: five distinct market architectures produce a five-fold spread in charging prices and sharply different investment propositions. Leadership is segment-specific — Thailand in vehicles, Indonesia in batteries, Vietnam in adoption speed, Singapore in per-station economics — and no market yet combines openness with high adoption. Indonesia enters 2026 with the region’s strongest upstream position and largest deployment pipeline, but its regulated, utility-anchored charging model trades private margin for affordability, leaving spatial equity of access dependent on policy design rather than market forces. The utilization-linked and location-differentiated instruments outlined above offer a path to close that gap without sacrificing the consumer protection that has underpinned Indonesia’s rapid adoption.</w:t>
      </w:r>
    </w:p>
    <w:p>
      <w:pPr>
        <w:pStyle w:val="Heading1"/>
        <w:spacing w:after="160" w:before="320"/>
      </w:pPr>
      <w:r>
        <w:rPr>
          <w:rFonts w:ascii="Times New Roman" w:cs="Times New Roman" w:eastAsia="Times New Roman" w:hAnsi="Times New Roman"/>
          <w:b/>
          <w:bCs/>
          <w:color w:val="111827"/>
          <w:sz w:val="26"/>
          <w:szCs w:val="26"/>
        </w:rPr>
        <w:t xml:space="preserve">Limitations</w:t>
      </w:r>
    </w:p>
    <w:p>
      <w:pPr>
        <w:pStyle w:val="ListParagraph"/>
        <w:numPr>
          <w:ilvl w:val="0"/>
          <w:numId w:val="2"/>
        </w:numPr>
        <w:spacing w:after="80" w:line="280"/>
        <w:jc w:val="both"/>
      </w:pPr>
      <w:r>
        <w:rPr>
          <w:rFonts w:ascii="Times New Roman" w:cs="Times New Roman" w:eastAsia="Times New Roman" w:hAnsi="Times New Roman"/>
          <w:sz w:val="22"/>
          <w:szCs w:val="22"/>
        </w:rPr>
        <w:t xml:space="preserve">H1 2026 penetration figures derive from a single research house (Maybank via TNGlobal) and should be treated as estimates pending official statistics.</w:t>
      </w:r>
    </w:p>
    <w:p>
      <w:pPr>
        <w:pStyle w:val="ListParagraph"/>
        <w:numPr>
          <w:ilvl w:val="0"/>
          <w:numId w:val="2"/>
        </w:numPr>
        <w:spacing w:after="80" w:line="280"/>
        <w:jc w:val="both"/>
      </w:pPr>
      <w:r>
        <w:rPr>
          <w:rFonts w:ascii="Times New Roman" w:cs="Times New Roman" w:eastAsia="Times New Roman" w:hAnsi="Times New Roman"/>
          <w:sz w:val="22"/>
          <w:szCs w:val="22"/>
        </w:rPr>
        <w:t xml:space="preserve">Charger counts are definitionally incompatible across countries (units vs points vs ports); cross-country density comparisons are deliberately avoided.</w:t>
      </w:r>
    </w:p>
    <w:p>
      <w:pPr>
        <w:pStyle w:val="ListParagraph"/>
        <w:numPr>
          <w:ilvl w:val="0"/>
          <w:numId w:val="2"/>
        </w:numPr>
        <w:spacing w:after="80" w:line="280"/>
        <w:jc w:val="both"/>
      </w:pPr>
      <w:r>
        <w:rPr>
          <w:rFonts w:ascii="Times New Roman" w:cs="Times New Roman" w:eastAsia="Times New Roman" w:hAnsi="Times New Roman"/>
          <w:sz w:val="22"/>
          <w:szCs w:val="22"/>
        </w:rPr>
        <w:t xml:space="preserve">Hardware CAPEX benchmarks are largely global rather than ASEAN-specific; local taxes (e.g., Malaysian SST ≥10%) and archipelagic logistics shift landed costs.</w:t>
      </w:r>
    </w:p>
    <w:p>
      <w:pPr>
        <w:pStyle w:val="ListParagraph"/>
        <w:numPr>
          <w:ilvl w:val="0"/>
          <w:numId w:val="2"/>
        </w:numPr>
        <w:spacing w:after="80" w:line="280"/>
        <w:jc w:val="both"/>
      </w:pPr>
      <w:r>
        <w:rPr>
          <w:rFonts w:ascii="Times New Roman" w:cs="Times New Roman" w:eastAsia="Times New Roman" w:hAnsi="Times New Roman"/>
          <w:sz w:val="22"/>
          <w:szCs w:val="22"/>
        </w:rPr>
        <w:t xml:space="preserve">Market-size projections conflict three-fold between vendors for the same base year; neither figure is official.</w:t>
      </w:r>
    </w:p>
    <w:p>
      <w:pPr>
        <w:pStyle w:val="ListParagraph"/>
        <w:numPr>
          <w:ilvl w:val="0"/>
          <w:numId w:val="2"/>
        </w:numPr>
        <w:spacing w:after="80" w:line="280"/>
        <w:jc w:val="both"/>
      </w:pPr>
      <w:r>
        <w:rPr>
          <w:rFonts w:ascii="Times New Roman" w:cs="Times New Roman" w:eastAsia="Times New Roman" w:hAnsi="Times New Roman"/>
          <w:sz w:val="22"/>
          <w:szCs w:val="22"/>
        </w:rPr>
        <w:t xml:space="preserve">Thailand’s April 2026 technical rules are issued by DOEB while energy licensing sits with the ERC; some secondary sources conflate the two regulators.</w:t>
      </w:r>
    </w:p>
    <w:p>
      <w:pPr>
        <w:pStyle w:val="ListParagraph"/>
        <w:numPr>
          <w:ilvl w:val="0"/>
          <w:numId w:val="2"/>
        </w:numPr>
        <w:spacing w:after="80" w:line="280"/>
        <w:jc w:val="both"/>
      </w:pPr>
      <w:r>
        <w:rPr>
          <w:rFonts w:ascii="Times New Roman" w:cs="Times New Roman" w:eastAsia="Times New Roman" w:hAnsi="Times New Roman"/>
          <w:sz w:val="22"/>
          <w:szCs w:val="22"/>
        </w:rPr>
        <w:t xml:space="preserve">Brunei, Cambodia, Laos, and Myanmar are excluded for lack of reliable data.</w:t>
      </w:r>
    </w:p>
    <w:p>
      <w:r>
        <w:br w:type="page"/>
      </w:r>
    </w:p>
    <w:p>
      <w:pPr>
        <w:pStyle w:val="Heading1"/>
        <w:spacing w:after="160" w:before="320"/>
      </w:pPr>
      <w:r>
        <w:rPr>
          <w:rFonts w:ascii="Times New Roman" w:cs="Times New Roman" w:eastAsia="Times New Roman" w:hAnsi="Times New Roman"/>
          <w:b/>
          <w:bCs/>
          <w:color w:val="111827"/>
          <w:sz w:val="26"/>
          <w:szCs w:val="26"/>
        </w:rPr>
        <w:t xml:space="preserve">References</w:t>
      </w:r>
    </w:p>
    <w:p>
      <w:pPr>
        <w:spacing w:after="100" w:line="260"/>
        <w:ind w:left="360" w:hanging="360"/>
        <w:jc w:val="left"/>
      </w:pPr>
      <w:r>
        <w:rPr>
          <w:rFonts w:ascii="Times New Roman" w:cs="Times New Roman" w:eastAsia="Times New Roman" w:hAnsi="Times New Roman"/>
          <w:sz w:val="19"/>
          <w:szCs w:val="19"/>
        </w:rPr>
        <w:t xml:space="preserve">[1] Maybank Research, cited in TNGlobal, “Southeast Asia’s EV sales accelerate as energy crisis continues,” 27 August 2026. https://technode.global/2026/08/27/southeast-asias-ev-sales-accelerate-as-energy-crisis-continues/</w:t>
      </w:r>
    </w:p>
    <w:p>
      <w:pPr>
        <w:spacing w:after="100" w:line="260"/>
        <w:ind w:left="360" w:hanging="360"/>
        <w:jc w:val="left"/>
      </w:pPr>
      <w:r>
        <w:rPr>
          <w:rFonts w:ascii="Times New Roman" w:cs="Times New Roman" w:eastAsia="Times New Roman" w:hAnsi="Times New Roman"/>
          <w:sz w:val="19"/>
          <w:szCs w:val="19"/>
        </w:rPr>
        <w:t xml:space="preserve">[2] Ember, “ASEAN emerges as a new leader in global EV adoption,” 16 December 2025. https://ember-energy.org/latest-updates/asean-emerges-as-a-new-leader-in-global-ev-adoption/</w:t>
      </w:r>
    </w:p>
    <w:p>
      <w:pPr>
        <w:spacing w:after="100" w:line="260"/>
        <w:ind w:left="360" w:hanging="360"/>
        <w:jc w:val="left"/>
      </w:pPr>
      <w:r>
        <w:rPr>
          <w:rFonts w:ascii="Times New Roman" w:cs="Times New Roman" w:eastAsia="Times New Roman" w:hAnsi="Times New Roman"/>
          <w:sz w:val="19"/>
          <w:szCs w:val="19"/>
        </w:rPr>
        <w:t xml:space="preserve">[3] Focus2move, “ASEAN Vehicle Market 2026,” July 2026. https://www.focus2move.com/asean-vehicle-market/</w:t>
      </w:r>
    </w:p>
    <w:p>
      <w:pPr>
        <w:spacing w:after="100" w:line="260"/>
        <w:ind w:left="360" w:hanging="360"/>
        <w:jc w:val="left"/>
      </w:pPr>
      <w:r>
        <w:rPr>
          <w:rFonts w:ascii="Times New Roman" w:cs="Times New Roman" w:eastAsia="Times New Roman" w:hAnsi="Times New Roman"/>
          <w:sz w:val="19"/>
          <w:szCs w:val="19"/>
        </w:rPr>
        <w:t xml:space="preserve">[4] PT PLN (Persero), “Permudah Mobilitas Kendaraan Listrik, PLN Operasikan 4.655 SPKLU Sepanjang 2025,” siaran pers, 8 February 2026. https://web.pln.co.id/media/siaran-pers/2026/02/pln-operasikan-4655-spklu-permudah-mobilitas-kendaraan-listrik</w:t>
      </w:r>
    </w:p>
    <w:p>
      <w:pPr>
        <w:spacing w:after="100" w:line="260"/>
        <w:ind w:left="360" w:hanging="360"/>
        <w:jc w:val="left"/>
      </w:pPr>
      <w:r>
        <w:rPr>
          <w:rFonts w:ascii="Times New Roman" w:cs="Times New Roman" w:eastAsia="Times New Roman" w:hAnsi="Times New Roman"/>
          <w:sz w:val="19"/>
          <w:szCs w:val="19"/>
        </w:rPr>
        <w:t xml:space="preserve">[5] Kementerian ESDM, Keputusan Menteri ESDM No. 182.K/TL.04/MEM.S/2023 tentang Biaya Layanan Pengisian Listrik pada SPKLU, 2023.</w:t>
      </w:r>
    </w:p>
    <w:p>
      <w:pPr>
        <w:spacing w:after="100" w:line="260"/>
        <w:ind w:left="360" w:hanging="360"/>
        <w:jc w:val="left"/>
      </w:pPr>
      <w:r>
        <w:rPr>
          <w:rFonts w:ascii="Times New Roman" w:cs="Times New Roman" w:eastAsia="Times New Roman" w:hAnsi="Times New Roman"/>
          <w:sz w:val="19"/>
          <w:szCs w:val="19"/>
        </w:rPr>
        <w:t xml:space="preserve">[6] PT PLN (Persero), “Kesiapan Pengembangan Infrastruktur SPKLU,” presentation to Direktorat Jenderal Ketenagalistrikan ESDM, 18 February 2025. https://gatrik.esdm.go.id/assets/uploads/download_index/files/ddde0-bahan-pln.pdf</w:t>
      </w:r>
    </w:p>
    <w:p>
      <w:pPr>
        <w:spacing w:after="100" w:line="260"/>
        <w:ind w:left="360" w:hanging="360"/>
        <w:jc w:val="left"/>
      </w:pPr>
      <w:r>
        <w:rPr>
          <w:rFonts w:ascii="Times New Roman" w:cs="Times New Roman" w:eastAsia="Times New Roman" w:hAnsi="Times New Roman"/>
          <w:sz w:val="19"/>
          <w:szCs w:val="19"/>
        </w:rPr>
        <w:t xml:space="preserve">[7] V-Green, “Charging Station for Electric Cars — pricing,” operator page, accessed 2026. https://vgreen.net/en/tram-sac-o-to-dien</w:t>
      </w:r>
    </w:p>
    <w:p>
      <w:pPr>
        <w:spacing w:after="100" w:line="260"/>
        <w:ind w:left="360" w:hanging="360"/>
        <w:jc w:val="left"/>
      </w:pPr>
      <w:r>
        <w:rPr>
          <w:rFonts w:ascii="Times New Roman" w:cs="Times New Roman" w:eastAsia="Times New Roman" w:hAnsi="Times New Roman"/>
          <w:sz w:val="19"/>
          <w:szCs w:val="19"/>
        </w:rPr>
        <w:t xml:space="preserve">[8] V-Green, “V-Green pioneers the implementation of the EV charging franchise model in Vietnam,” 2024. https://vgreen.net/en/v-green-pioneers-the-implementation-of-the-ev-charging-franchise-model-in-vietnam</w:t>
      </w:r>
    </w:p>
    <w:p>
      <w:pPr>
        <w:spacing w:after="100" w:line="260"/>
        <w:ind w:left="360" w:hanging="360"/>
        <w:jc w:val="left"/>
      </w:pPr>
      <w:r>
        <w:rPr>
          <w:rFonts w:ascii="Times New Roman" w:cs="Times New Roman" w:eastAsia="Times New Roman" w:hAnsi="Times New Roman"/>
          <w:sz w:val="19"/>
          <w:szCs w:val="19"/>
        </w:rPr>
        <w:t xml:space="preserve">[9] VnExpress International, “V-Green deploys first EV charging station franchise model in Vietnam,” 2024. https://e.vnexpress.net/news/business/companies/v-green-deploys-first-ev-charging-station-franchise-model-in-vietnam-4789409.html</w:t>
      </w:r>
    </w:p>
    <w:p>
      <w:pPr>
        <w:spacing w:after="100" w:line="260"/>
        <w:ind w:left="360" w:hanging="360"/>
        <w:jc w:val="left"/>
      </w:pPr>
      <w:r>
        <w:rPr>
          <w:rFonts w:ascii="Times New Roman" w:cs="Times New Roman" w:eastAsia="Times New Roman" w:hAnsi="Times New Roman"/>
          <w:sz w:val="19"/>
          <w:szCs w:val="19"/>
        </w:rPr>
        <w:t xml:space="preserve">[10] Green Energy Thailand, “How Much Does EV Charging Cost in Thailand? 7-Eleven, MEA, PEA and Home Rates Compared,” 2026. https://www.greenenergythailand.com/posts/much-charging-cost-thailand/</w:t>
      </w:r>
    </w:p>
    <w:p>
      <w:pPr>
        <w:spacing w:after="100" w:line="260"/>
        <w:ind w:left="360" w:hanging="360"/>
        <w:jc w:val="left"/>
      </w:pPr>
      <w:r>
        <w:rPr>
          <w:rFonts w:ascii="Times New Roman" w:cs="Times New Roman" w:eastAsia="Times New Roman" w:hAnsi="Times New Roman"/>
          <w:sz w:val="19"/>
          <w:szCs w:val="19"/>
        </w:rPr>
        <w:t xml:space="preserve">[11] LTA DataMall and operator rate cards compiled by EV Charge Buddy and revolt.sg price index, Singapore, mid-2026. https://revolt.sg/ev-charging/price-index</w:t>
      </w:r>
    </w:p>
    <w:p>
      <w:pPr>
        <w:spacing w:after="100" w:line="260"/>
        <w:ind w:left="360" w:hanging="360"/>
        <w:jc w:val="left"/>
      </w:pPr>
      <w:r>
        <w:rPr>
          <w:rFonts w:ascii="Times New Roman" w:cs="Times New Roman" w:eastAsia="Times New Roman" w:hAnsi="Times New Roman"/>
          <w:sz w:val="19"/>
          <w:szCs w:val="19"/>
        </w:rPr>
        <w:t xml:space="preserve">[12] Ministry of Transport Singapore, “Electric Vehicles,” policy page (60,000-point 2030 target; installed-base updates), accessed 2026. https://www.mot.gov.sg/what-we-do/green-transport/electric-vehicles/</w:t>
      </w:r>
    </w:p>
    <w:p>
      <w:pPr>
        <w:spacing w:after="100" w:line="260"/>
        <w:ind w:left="360" w:hanging="360"/>
        <w:jc w:val="left"/>
      </w:pPr>
      <w:r>
        <w:rPr>
          <w:rFonts w:ascii="Times New Roman" w:cs="Times New Roman" w:eastAsia="Times New Roman" w:hAnsi="Times New Roman"/>
          <w:sz w:val="19"/>
          <w:szCs w:val="19"/>
        </w:rPr>
        <w:t xml:space="preserve">[13] Malaysia4U / EV Sifu network guides and Gentari published tariffs (rev. March 2025; idle fee 30 March 2026), accessed 2026. https://malaysia4u.com/ev-charging-guide</w:t>
      </w:r>
    </w:p>
    <w:p>
      <w:pPr>
        <w:spacing w:after="100" w:line="260"/>
        <w:ind w:left="360" w:hanging="360"/>
        <w:jc w:val="left"/>
      </w:pPr>
      <w:r>
        <w:rPr>
          <w:rFonts w:ascii="Times New Roman" w:cs="Times New Roman" w:eastAsia="Times New Roman" w:hAnsi="Times New Roman"/>
          <w:sz w:val="19"/>
          <w:szCs w:val="19"/>
        </w:rPr>
        <w:t xml:space="preserve">[14] MEVnet dashboard, Malaysian Green Technology and Climate Change Corporation (MGTC) / PLANMalaysia, charger census as of 31 March 2026.</w:t>
      </w:r>
    </w:p>
    <w:p>
      <w:pPr>
        <w:spacing w:after="100" w:line="260"/>
        <w:ind w:left="360" w:hanging="360"/>
        <w:jc w:val="left"/>
      </w:pPr>
      <w:r>
        <w:rPr>
          <w:rFonts w:ascii="Times New Roman" w:cs="Times New Roman" w:eastAsia="Times New Roman" w:hAnsi="Times New Roman"/>
          <w:sz w:val="19"/>
          <w:szCs w:val="19"/>
        </w:rPr>
        <w:t xml:space="preserve">[15] The Edge Malaysia, “Lessons learnt from Malaysia’s missed target to build 10,000 EV charging points,” 2025. https://theedgemalaysia.com/node/803636</w:t>
      </w:r>
    </w:p>
    <w:p>
      <w:pPr>
        <w:spacing w:after="100" w:line="260"/>
        <w:ind w:left="360" w:hanging="360"/>
        <w:jc w:val="left"/>
      </w:pPr>
      <w:r>
        <w:rPr>
          <w:rFonts w:ascii="Times New Roman" w:cs="Times New Roman" w:eastAsia="Times New Roman" w:hAnsi="Times New Roman"/>
          <w:sz w:val="19"/>
          <w:szCs w:val="19"/>
        </w:rPr>
        <w:t xml:space="preserve">[16] Emerhub, “How to start an EV charging station business in the Philippines,” accessed 2026. https://emerhub.com/philippines/how-to-start-an-ev-charging-station-business-in-the-philippines/</w:t>
      </w:r>
    </w:p>
    <w:p>
      <w:pPr>
        <w:spacing w:after="100" w:line="260"/>
        <w:ind w:left="360" w:hanging="360"/>
        <w:jc w:val="left"/>
      </w:pPr>
      <w:r>
        <w:rPr>
          <w:rFonts w:ascii="Times New Roman" w:cs="Times New Roman" w:eastAsia="Times New Roman" w:hAnsi="Times New Roman"/>
          <w:sz w:val="19"/>
          <w:szCs w:val="19"/>
        </w:rPr>
        <w:t xml:space="preserve">[17] RichestPH / Top Gear Philippines, compiled Philippine public charging price surveys, 2025–2026.</w:t>
      </w:r>
    </w:p>
    <w:p>
      <w:pPr>
        <w:spacing w:after="100" w:line="260"/>
        <w:ind w:left="360" w:hanging="360"/>
        <w:jc w:val="left"/>
      </w:pPr>
      <w:r>
        <w:rPr>
          <w:rFonts w:ascii="Times New Roman" w:cs="Times New Roman" w:eastAsia="Times New Roman" w:hAnsi="Times New Roman"/>
          <w:sz w:val="19"/>
          <w:szCs w:val="19"/>
        </w:rPr>
        <w:t xml:space="preserve">[18] DetikFinance, “Kendaraan Listrik Digenjot, SPKLU Ditambah hingga 31.859 Unit” (BKPM statement), 2025. https://finance.detik.com/energi/d-7732691/</w:t>
      </w:r>
    </w:p>
    <w:p>
      <w:pPr>
        <w:spacing w:after="100" w:line="260"/>
        <w:ind w:left="360" w:hanging="360"/>
        <w:jc w:val="left"/>
      </w:pPr>
      <w:r>
        <w:rPr>
          <w:rFonts w:ascii="Times New Roman" w:cs="Times New Roman" w:eastAsia="Times New Roman" w:hAnsi="Times New Roman"/>
          <w:sz w:val="19"/>
          <w:szCs w:val="19"/>
        </w:rPr>
        <w:t xml:space="preserve">[19] PT PLN (Persero), “Partnership SPKLU,” program page (schemes, revenue sharing, site requirements), accessed 2026. https://layanan.pln.co.id/partnership-spklu</w:t>
      </w:r>
    </w:p>
    <w:p>
      <w:pPr>
        <w:spacing w:after="100" w:line="260"/>
        <w:ind w:left="360" w:hanging="360"/>
        <w:jc w:val="left"/>
      </w:pPr>
      <w:r>
        <w:rPr>
          <w:rFonts w:ascii="Times New Roman" w:cs="Times New Roman" w:eastAsia="Times New Roman" w:hAnsi="Times New Roman"/>
          <w:sz w:val="19"/>
          <w:szCs w:val="19"/>
        </w:rPr>
        <w:t xml:space="preserve">[20] Thailand Board of Investment, press release on EV supply-chain investment pledges (US$4.1 billion across 198 projects; BEV capacity &gt;370,000 units/yr), 3 July 2026.</w:t>
      </w:r>
    </w:p>
    <w:p>
      <w:pPr>
        <w:spacing w:after="100" w:line="260"/>
        <w:ind w:left="360" w:hanging="360"/>
        <w:jc w:val="left"/>
      </w:pPr>
      <w:r>
        <w:rPr>
          <w:rFonts w:ascii="Times New Roman" w:cs="Times New Roman" w:eastAsia="Times New Roman" w:hAnsi="Times New Roman"/>
          <w:sz w:val="19"/>
          <w:szCs w:val="19"/>
        </w:rPr>
        <w:t xml:space="preserve">[21] ASEAN Briefing (Dezan Shira), “BOI EV 3.5 Policy in Thailand and EV Battery Investment Opportunities,” 2024–2025. https://www.aseanbriefing.com/news/how-boi-ev-3-5-shapes-the-future-of-ev-battery-investments-in-thailand/</w:t>
      </w:r>
    </w:p>
    <w:p>
      <w:pPr>
        <w:spacing w:after="100" w:line="260"/>
        <w:ind w:left="360" w:hanging="360"/>
        <w:jc w:val="left"/>
      </w:pPr>
      <w:r>
        <w:rPr>
          <w:rFonts w:ascii="Times New Roman" w:cs="Times New Roman" w:eastAsia="Times New Roman" w:hAnsi="Times New Roman"/>
          <w:sz w:val="19"/>
          <w:szCs w:val="19"/>
        </w:rPr>
        <w:t xml:space="preserve">[22] Bangkok Post, coverage of Department of Energy Business (DOEB) technical regulations for EV charging effective April 2026 (Dir-Gen Sarawut Kaewtathip).</w:t>
      </w:r>
    </w:p>
    <w:p>
      <w:pPr>
        <w:spacing w:after="100" w:line="260"/>
        <w:ind w:left="360" w:hanging="360"/>
        <w:jc w:val="left"/>
      </w:pPr>
      <w:r>
        <w:rPr>
          <w:rFonts w:ascii="Times New Roman" w:cs="Times New Roman" w:eastAsia="Times New Roman" w:hAnsi="Times New Roman"/>
          <w:sz w:val="19"/>
          <w:szCs w:val="19"/>
        </w:rPr>
        <w:t xml:space="preserve">[23] Gaikindo wholesale data cited in Just Auto, Indonesia BEV sales 2025 (106,644 units; BYD group share 51%), January 2026.</w:t>
      </w:r>
    </w:p>
    <w:p>
      <w:pPr>
        <w:spacing w:after="100" w:line="260"/>
        <w:ind w:left="360" w:hanging="360"/>
        <w:jc w:val="left"/>
      </w:pPr>
      <w:r>
        <w:rPr>
          <w:rFonts w:ascii="Times New Roman" w:cs="Times New Roman" w:eastAsia="Times New Roman" w:hAnsi="Times New Roman"/>
          <w:sz w:val="19"/>
          <w:szCs w:val="19"/>
        </w:rPr>
        <w:t xml:space="preserve">[24] ICCT, “Electric vehicle market in Indonesia,” December 2025. https://theicct.org/publication/electric-vehicle-market-in-indonesia-dec25/</w:t>
      </w:r>
    </w:p>
    <w:p>
      <w:pPr>
        <w:spacing w:after="100" w:line="260"/>
        <w:ind w:left="360" w:hanging="360"/>
        <w:jc w:val="left"/>
      </w:pPr>
      <w:r>
        <w:rPr>
          <w:rFonts w:ascii="Times New Roman" w:cs="Times New Roman" w:eastAsia="Times New Roman" w:hAnsi="Times New Roman"/>
          <w:sz w:val="19"/>
          <w:szCs w:val="19"/>
        </w:rPr>
        <w:t xml:space="preserve">[25] USGS, Mineral Commodity Summaries 2026 — Nickel (Indonesia mine production ~2.6 Mt of 3.9 Mt world total).</w:t>
      </w:r>
    </w:p>
    <w:p>
      <w:pPr>
        <w:spacing w:after="100" w:line="260"/>
        <w:ind w:left="360" w:hanging="360"/>
        <w:jc w:val="left"/>
      </w:pPr>
      <w:r>
        <w:rPr>
          <w:rFonts w:ascii="Times New Roman" w:cs="Times New Roman" w:eastAsia="Times New Roman" w:hAnsi="Times New Roman"/>
          <w:sz w:val="19"/>
          <w:szCs w:val="19"/>
        </w:rPr>
        <w:t xml:space="preserve">[26] Tempo / Yonhap, “LG-led consortium cancels US$7.7 billion Indonesia Grand Package battery project,” 18 April 2025.</w:t>
      </w:r>
    </w:p>
    <w:p>
      <w:pPr>
        <w:spacing w:after="100" w:line="260"/>
        <w:ind w:left="360" w:hanging="360"/>
        <w:jc w:val="left"/>
      </w:pPr>
      <w:r>
        <w:rPr>
          <w:rFonts w:ascii="Times New Roman" w:cs="Times New Roman" w:eastAsia="Times New Roman" w:hAnsi="Times New Roman"/>
          <w:sz w:val="19"/>
          <w:szCs w:val="19"/>
        </w:rPr>
        <w:t xml:space="preserve">[27] Mordor Intelligence, “ASEAN Electric Vehicle Market (2026–2031),” market estimate USD 5.99B (2026) to USD 23.58B (2031), CAGR 31.55%; DC fast-charging CAGR 32.85%. https://www.mordorintelligence.com/industry-reports/asean-electric-vehicle-market</w:t>
      </w:r>
    </w:p>
    <w:p>
      <w:pPr>
        <w:spacing w:after="100" w:line="260"/>
        <w:ind w:left="360" w:hanging="360"/>
        <w:jc w:val="left"/>
      </w:pPr>
      <w:r>
        <w:rPr>
          <w:rFonts w:ascii="Times New Roman" w:cs="Times New Roman" w:eastAsia="Times New Roman" w:hAnsi="Times New Roman"/>
          <w:sz w:val="19"/>
          <w:szCs w:val="19"/>
        </w:rPr>
        <w:t xml:space="preserve">[28] MarkWide Research, “ASEAN Electric Vehicle Market Forecast 2026–2036,” alternative estimate USD 18.7B (2026) to USD 135.36B (2035), CAGR 24.60%. https://markwideresearch.com/asean-electric-vehicle-market</w:t>
      </w:r>
    </w:p>
    <w:p>
      <w:pPr>
        <w:spacing w:after="100" w:line="260"/>
        <w:ind w:left="360" w:hanging="360"/>
        <w:jc w:val="left"/>
      </w:pPr>
      <w:r>
        <w:rPr>
          <w:rFonts w:ascii="Times New Roman" w:cs="Times New Roman" w:eastAsia="Times New Roman" w:hAnsi="Times New Roman"/>
          <w:sz w:val="19"/>
          <w:szCs w:val="19"/>
        </w:rPr>
        <w:t xml:space="preserve">[29] Electrive, “V-Green to build 99 fast-charging stations in Vietnam” (20 March 2026) and “V-Green opens Hanoi’s largest fast-charging station” (7 July 2025). https://www.electrive.com/</w:t>
      </w:r>
    </w:p>
    <w:p>
      <w:pPr>
        <w:spacing w:after="100" w:line="260"/>
        <w:ind w:left="360" w:hanging="360"/>
        <w:jc w:val="left"/>
      </w:pPr>
      <w:r>
        <w:rPr>
          <w:rFonts w:ascii="Times New Roman" w:cs="Times New Roman" w:eastAsia="Times New Roman" w:hAnsi="Times New Roman"/>
          <w:sz w:val="19"/>
          <w:szCs w:val="19"/>
        </w:rPr>
        <w:t xml:space="preserve">[30] Studi kelayakan finansial SPKLU (kasus ULP Mattoanging, Makassar): Fast Charging NPV Rp108 juta, IRR 45%; Ultra-Fast Charging NPV negatif dalam horizon lima tahun. Jurnal ilmiah Indonesia, 2024–2025.</w:t>
      </w:r>
    </w:p>
    <w:p>
      <w:pPr>
        <w:spacing w:after="100" w:line="260"/>
        <w:ind w:left="360" w:hanging="360"/>
        <w:jc w:val="left"/>
      </w:pPr>
      <w:r>
        <w:rPr>
          <w:rFonts w:ascii="Times New Roman" w:cs="Times New Roman" w:eastAsia="Times New Roman" w:hAnsi="Times New Roman"/>
          <w:sz w:val="19"/>
          <w:szCs w:val="19"/>
        </w:rPr>
        <w:t xml:space="preserve">[31] KrASIA / Nikkei Asia, “EV boom drives ASEAN car sales in Q2, with Indonesia surging 34%,” August 2026. https://kr-asia.com/ev-boom-drives-asean-car-sales-in-q2-with-indonesia-surging-34</w:t>
      </w:r>
    </w:p>
    <w:p>
      <w:pPr>
        <w:spacing w:after="100" w:line="260"/>
        <w:ind w:left="360" w:hanging="360"/>
        <w:jc w:val="left"/>
      </w:pPr>
      <w:r>
        <w:rPr>
          <w:rFonts w:ascii="Times New Roman" w:cs="Times New Roman" w:eastAsia="Times New Roman" w:hAnsi="Times New Roman"/>
          <w:sz w:val="19"/>
          <w:szCs w:val="19"/>
        </w:rPr>
        <w:t xml:space="preserve">[32] Benchmark hardware and installation cost compilations for AC/DC/ultra-fast chargers (Klitv, QuikrEV, BENY, SolarTech, TrendX Insights), 2025–2026; IEA Global EV Outlook on ultra-fast hardware cost decline (≈20%, 2022–2024).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7a642795653f7882f1d871347f345d5f65ecf4.png"/><Relationship Id="rId8" Type="http://schemas.openxmlformats.org/officeDocument/2006/relationships/image" Target="media/7f3f1b8d40780cc59e9df45bb1bf311451f1261e.png"/><Relationship Id="rId9" Type="http://schemas.openxmlformats.org/officeDocument/2006/relationships/image" Target="media/ccbf95e12e401064ee3f376bab910a5d66652d61.png"/><Relationship Id="rId10" Type="http://schemas.openxmlformats.org/officeDocument/2006/relationships/image" Target="media/4af4f19b0421f0710b42962f93196814e55d543d.png"/><Relationship Id="rId11" Type="http://schemas.openxmlformats.org/officeDocument/2006/relationships/image" Target="media/19a1c319f86004172a504cd299a1b3a53ac59f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2026-09-01T07:51:43.588Z</dcterms:created>
  <dcterms:modified xsi:type="dcterms:W3CDTF">2026-09-01T07:51:43.588Z</dcterms:modified>
</cp:coreProperties>
</file>

<file path=docProps/custom.xml><?xml version="1.0" encoding="utf-8"?>
<Properties xmlns="http://schemas.openxmlformats.org/officeDocument/2006/custom-properties" xmlns:vt="http://schemas.openxmlformats.org/officeDocument/2006/docPropsVTypes"/>
</file>