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7C8A7A" w14:textId="77777777" w:rsidR="00884205" w:rsidRDefault="00000000">
      <w:pPr>
        <w:spacing w:after="60"/>
        <w:jc w:val="center"/>
      </w:pPr>
      <w:r>
        <w:rPr>
          <w:rFonts w:ascii="Calibri" w:eastAsia="Calibri" w:hAnsi="Calibri" w:cs="Calibri"/>
          <w:b/>
          <w:bCs/>
          <w:sz w:val="26"/>
          <w:szCs w:val="26"/>
        </w:rPr>
        <w:t>The Balance Sheet Problem: Why Battery-Swapping Networks Migrate to Public Ownership</w:t>
      </w:r>
    </w:p>
    <w:p w14:paraId="55D954CB" w14:textId="77777777" w:rsidR="00884205" w:rsidRDefault="00000000">
      <w:pPr>
        <w:spacing w:after="30"/>
        <w:jc w:val="center"/>
      </w:pPr>
      <w:r>
        <w:rPr>
          <w:rFonts w:ascii="Calibri" w:eastAsia="Calibri" w:hAnsi="Calibri" w:cs="Calibri"/>
        </w:rPr>
        <w:t>Qashtalani Haramaini</w:t>
      </w:r>
    </w:p>
    <w:p w14:paraId="0D96CDDC" w14:textId="77777777" w:rsidR="00884205" w:rsidRDefault="00000000">
      <w:pPr>
        <w:spacing w:after="30"/>
        <w:jc w:val="center"/>
      </w:pPr>
      <w:r>
        <w:rPr>
          <w:rFonts w:ascii="Calibri" w:eastAsia="Calibri" w:hAnsi="Calibri" w:cs="Calibri"/>
          <w:i/>
          <w:iCs/>
          <w:color w:val="555555"/>
          <w:sz w:val="18"/>
          <w:szCs w:val="18"/>
        </w:rPr>
        <w:t>Monash University Indonesia · RACE for 2030 · [insert email]</w:t>
      </w:r>
    </w:p>
    <w:p w14:paraId="6D6429CA" w14:textId="77777777" w:rsidR="00884205" w:rsidRDefault="00000000">
      <w:pPr>
        <w:spacing w:after="160"/>
        <w:jc w:val="center"/>
      </w:pPr>
      <w:r>
        <w:rPr>
          <w:rFonts w:ascii="Calibri" w:eastAsia="Calibri" w:hAnsi="Calibri" w:cs="Calibri"/>
          <w:b/>
          <w:bCs/>
          <w:i/>
          <w:iCs/>
          <w:color w:val="555555"/>
          <w:sz w:val="18"/>
          <w:szCs w:val="18"/>
        </w:rPr>
        <w:t xml:space="preserve">IAEE Energy Specialization Code: </w:t>
      </w:r>
      <w:r>
        <w:rPr>
          <w:rFonts w:ascii="Calibri" w:eastAsia="Calibri" w:hAnsi="Calibri" w:cs="Calibri"/>
          <w:i/>
          <w:iCs/>
          <w:color w:val="555555"/>
          <w:sz w:val="18"/>
          <w:szCs w:val="18"/>
        </w:rPr>
        <w:t>10.3 Transportation – Electric vehicles &amp; systems</w:t>
      </w:r>
    </w:p>
    <w:p w14:paraId="36A4256A" w14:textId="77777777" w:rsidR="00884205" w:rsidRDefault="00000000">
      <w:pPr>
        <w:spacing w:before="180" w:after="70"/>
      </w:pPr>
      <w:r>
        <w:rPr>
          <w:rFonts w:ascii="Calibri" w:eastAsia="Calibri" w:hAnsi="Calibri" w:cs="Calibri"/>
          <w:b/>
          <w:bCs/>
          <w:sz w:val="21"/>
          <w:szCs w:val="21"/>
        </w:rPr>
        <w:t>Summary of Research</w:t>
      </w:r>
    </w:p>
    <w:p w14:paraId="523C3716" w14:textId="77777777" w:rsidR="00884205" w:rsidRDefault="00000000">
      <w:pPr>
        <w:spacing w:after="100" w:line="250" w:lineRule="auto"/>
        <w:jc w:val="both"/>
      </w:pPr>
      <w:r>
        <w:rPr>
          <w:rFonts w:ascii="Calibri" w:eastAsia="Calibri" w:hAnsi="Calibri" w:cs="Calibri"/>
          <w:sz w:val="19"/>
          <w:szCs w:val="19"/>
        </w:rPr>
        <w:t>Battery swapping is repeatedly proposed as the solution to the two problems that constrain electric vehicle adoption in emerging economies: the upfront cost of the battery, which represents 35–50 per cent of vehicle price, and the charging time that removes a vehicle from revenue service. Yet the record is sharply divided. Better Place failed in 2013 after roughly USD 850 million; Tesla demonstrated swapping the same year and abandoned it; Ample entered bankruptcy in December 2025 despite USD 270 million raised and partnerships with Shell, Mitsubishi and Stellantis. Over the same period Gogoro built a network serving 92 per cent of Taiwan’s electric two-wheelers, and NIO built more than 3,800 stations in China. The conventional explanations — technology readiness, standardisation, consumer acceptance — do not separate these outcomes cleanly, because several failed ventures had the technology, and several successful ones lacked a standard.</w:t>
      </w:r>
    </w:p>
    <w:p w14:paraId="6B1A3030" w14:textId="77777777" w:rsidR="00884205" w:rsidRDefault="00000000">
      <w:pPr>
        <w:spacing w:after="100" w:line="250" w:lineRule="auto"/>
        <w:jc w:val="both"/>
      </w:pPr>
      <w:r>
        <w:rPr>
          <w:rFonts w:ascii="Calibri" w:eastAsia="Calibri" w:hAnsi="Calibri" w:cs="Calibri"/>
          <w:sz w:val="19"/>
          <w:szCs w:val="19"/>
        </w:rPr>
        <w:t xml:space="preserve">This paper argues that the dividing line is a question of energy economics rather than engineering, and that it concerns </w:t>
      </w:r>
      <w:r>
        <w:rPr>
          <w:rFonts w:ascii="Calibri" w:eastAsia="Calibri" w:hAnsi="Calibri" w:cs="Calibri"/>
          <w:b/>
          <w:bCs/>
          <w:sz w:val="19"/>
          <w:szCs w:val="19"/>
        </w:rPr>
        <w:t>who holds the asset</w:t>
      </w:r>
      <w:r>
        <w:rPr>
          <w:rFonts w:ascii="Calibri" w:eastAsia="Calibri" w:hAnsi="Calibri" w:cs="Calibri"/>
          <w:sz w:val="19"/>
          <w:szCs w:val="19"/>
        </w:rPr>
        <w:t>. A swap network must own an inventory of batteries larger than the vehicle fleet it serves. That inventory is a capital stock whose carrying cost scales with network size rather than with utilisation, which inverts the economics familiar from charging infrastructure. The paper tests, across national cases, which combinations of conditions allow that capital stock to be carried — and shows that in the largest cases the answer has been a public or quasi-public balance sheet. The question is significant because governments across MENA and Asia are currently committing sovereign and utility capital to charging, storage and hydrogen assets with the same structure, and are doing so without an evidence base on when that commitment is a necessary condition rather than a subsidy.</w:t>
      </w:r>
    </w:p>
    <w:p w14:paraId="66B7A289" w14:textId="77777777" w:rsidR="00884205" w:rsidRDefault="00000000">
      <w:pPr>
        <w:spacing w:before="180" w:after="70"/>
      </w:pPr>
      <w:r>
        <w:rPr>
          <w:rFonts w:ascii="Calibri" w:eastAsia="Calibri" w:hAnsi="Calibri" w:cs="Calibri"/>
          <w:b/>
          <w:bCs/>
          <w:sz w:val="21"/>
          <w:szCs w:val="21"/>
        </w:rPr>
        <w:t>Methodology</w:t>
      </w:r>
    </w:p>
    <w:p w14:paraId="2DE360C6" w14:textId="77777777" w:rsidR="00884205" w:rsidRDefault="00000000">
      <w:pPr>
        <w:spacing w:after="100" w:line="250" w:lineRule="auto"/>
        <w:jc w:val="both"/>
      </w:pPr>
      <w:r>
        <w:rPr>
          <w:rFonts w:ascii="Calibri" w:eastAsia="Calibri" w:hAnsi="Calibri" w:cs="Calibri"/>
          <w:sz w:val="19"/>
          <w:szCs w:val="19"/>
        </w:rPr>
        <w:t>The outcome of interest is configurational: a national swap network does not fail because one variable is too low, but because one required condition is absent while others are present. This rules out both meta-analysis, which requires comparable effect sizes that this literature does not contain, and regression designs, which assume additive and symmetric causation. The study therefore combines two methods.</w:t>
      </w:r>
    </w:p>
    <w:p w14:paraId="07046134" w14:textId="77777777" w:rsidR="00884205" w:rsidRDefault="00000000">
      <w:pPr>
        <w:spacing w:after="100" w:line="250" w:lineRule="auto"/>
        <w:jc w:val="both"/>
      </w:pPr>
      <w:r>
        <w:rPr>
          <w:rFonts w:ascii="Calibri" w:eastAsia="Calibri" w:hAnsi="Calibri" w:cs="Calibri"/>
          <w:b/>
          <w:bCs/>
          <w:sz w:val="19"/>
          <w:szCs w:val="19"/>
        </w:rPr>
        <w:t>(</w:t>
      </w:r>
      <w:proofErr w:type="spellStart"/>
      <w:r>
        <w:rPr>
          <w:rFonts w:ascii="Calibri" w:eastAsia="Calibri" w:hAnsi="Calibri" w:cs="Calibri"/>
          <w:b/>
          <w:bCs/>
          <w:sz w:val="19"/>
          <w:szCs w:val="19"/>
        </w:rPr>
        <w:t>i</w:t>
      </w:r>
      <w:proofErr w:type="spellEnd"/>
      <w:r>
        <w:rPr>
          <w:rFonts w:ascii="Calibri" w:eastAsia="Calibri" w:hAnsi="Calibri" w:cs="Calibri"/>
          <w:b/>
          <w:bCs/>
          <w:sz w:val="19"/>
          <w:szCs w:val="19"/>
        </w:rPr>
        <w:t>) Fuzzy-set Qualitative Comparative Analysis (</w:t>
      </w:r>
      <w:proofErr w:type="spellStart"/>
      <w:r>
        <w:rPr>
          <w:rFonts w:ascii="Calibri" w:eastAsia="Calibri" w:hAnsi="Calibri" w:cs="Calibri"/>
          <w:b/>
          <w:bCs/>
          <w:sz w:val="19"/>
          <w:szCs w:val="19"/>
        </w:rPr>
        <w:t>fsQCA</w:t>
      </w:r>
      <w:proofErr w:type="spellEnd"/>
      <w:r>
        <w:rPr>
          <w:rFonts w:ascii="Calibri" w:eastAsia="Calibri" w:hAnsi="Calibri" w:cs="Calibri"/>
          <w:b/>
          <w:bCs/>
          <w:sz w:val="19"/>
          <w:szCs w:val="19"/>
        </w:rPr>
        <w:t>)</w:t>
      </w:r>
      <w:r>
        <w:rPr>
          <w:rFonts w:ascii="Calibri" w:eastAsia="Calibri" w:hAnsi="Calibri" w:cs="Calibri"/>
          <w:sz w:val="19"/>
          <w:szCs w:val="19"/>
        </w:rPr>
        <w:t xml:space="preserve"> over 16–20 national cases, including historical failures (Israel, Denmark, United States) so that the design is not conditioned on survival. Eight conditions are calibrated from public statistics with pre-specified anchors: share of two- and three-wheelers in the fleet; commercial fleet share of target vehicles; presence of a binding pack interoperability mandate; supply-side concentration permitting a de facto standard; urban density; scarcity of home charging; legal and fiscal neutrality of battery–vehicle ownership decoupling; and availability of patient or public capital. </w:t>
      </w:r>
      <w:proofErr w:type="spellStart"/>
      <w:r>
        <w:rPr>
          <w:rFonts w:ascii="Calibri" w:eastAsia="Calibri" w:hAnsi="Calibri" w:cs="Calibri"/>
          <w:sz w:val="19"/>
          <w:szCs w:val="19"/>
        </w:rPr>
        <w:t>fsQCA</w:t>
      </w:r>
      <w:proofErr w:type="spellEnd"/>
      <w:r>
        <w:rPr>
          <w:rFonts w:ascii="Calibri" w:eastAsia="Calibri" w:hAnsi="Calibri" w:cs="Calibri"/>
          <w:sz w:val="19"/>
          <w:szCs w:val="19"/>
        </w:rPr>
        <w:t xml:space="preserve"> distinguishes necessary conditions from sufficient configurations and reports consistency and coverage, allowing equifinal paths to be identified rather than averaged away.</w:t>
      </w:r>
    </w:p>
    <w:p w14:paraId="4E11B020" w14:textId="77777777" w:rsidR="00884205" w:rsidRDefault="00000000">
      <w:pPr>
        <w:spacing w:after="100" w:line="250" w:lineRule="auto"/>
        <w:jc w:val="both"/>
      </w:pPr>
      <w:r>
        <w:rPr>
          <w:rFonts w:ascii="Calibri" w:eastAsia="Calibri" w:hAnsi="Calibri" w:cs="Calibri"/>
          <w:b/>
          <w:bCs/>
          <w:sz w:val="19"/>
          <w:szCs w:val="19"/>
        </w:rPr>
        <w:t>(ii) A common break-even model</w:t>
      </w:r>
      <w:r>
        <w:rPr>
          <w:rFonts w:ascii="Calibri" w:eastAsia="Calibri" w:hAnsi="Calibri" w:cs="Calibri"/>
          <w:sz w:val="19"/>
          <w:szCs w:val="19"/>
        </w:rPr>
        <w:t xml:space="preserve"> applied uniformly to every case, so that success is computed rather than inferred from corporate communication. Station-level break-even throughput is N* = (C·CRF + O + </w:t>
      </w:r>
      <w:proofErr w:type="spellStart"/>
      <w:r>
        <w:rPr>
          <w:rFonts w:ascii="Calibri" w:eastAsia="Calibri" w:hAnsi="Calibri" w:cs="Calibri"/>
          <w:sz w:val="19"/>
          <w:szCs w:val="19"/>
        </w:rPr>
        <w:t>B·δ</w:t>
      </w:r>
      <w:proofErr w:type="spellEnd"/>
      <w:r>
        <w:rPr>
          <w:rFonts w:ascii="Calibri" w:eastAsia="Calibri" w:hAnsi="Calibri" w:cs="Calibri"/>
          <w:sz w:val="19"/>
          <w:szCs w:val="19"/>
        </w:rPr>
        <w:t xml:space="preserve">) / (p − </w:t>
      </w:r>
      <w:proofErr w:type="spellStart"/>
      <w:r>
        <w:rPr>
          <w:rFonts w:ascii="Calibri" w:eastAsia="Calibri" w:hAnsi="Calibri" w:cs="Calibri"/>
          <w:sz w:val="19"/>
          <w:szCs w:val="19"/>
        </w:rPr>
        <w:t>c·e</w:t>
      </w:r>
      <w:proofErr w:type="spellEnd"/>
      <w:r>
        <w:rPr>
          <w:rFonts w:ascii="Calibri" w:eastAsia="Calibri" w:hAnsi="Calibri" w:cs="Calibri"/>
          <w:sz w:val="19"/>
          <w:szCs w:val="19"/>
        </w:rPr>
        <w:t xml:space="preserve">), where C is station capital cost, CRF the capital recovery factor, O annual operating cost, B the value of resident battery inventory, δ its degradation and financing rate, p the price per swap, c the electricity tariff and e energy per swap. The </w:t>
      </w:r>
      <w:proofErr w:type="spellStart"/>
      <w:r>
        <w:rPr>
          <w:rFonts w:ascii="Calibri" w:eastAsia="Calibri" w:hAnsi="Calibri" w:cs="Calibri"/>
          <w:sz w:val="19"/>
          <w:szCs w:val="19"/>
        </w:rPr>
        <w:t>B·δ</w:t>
      </w:r>
      <w:proofErr w:type="spellEnd"/>
      <w:r>
        <w:rPr>
          <w:rFonts w:ascii="Calibri" w:eastAsia="Calibri" w:hAnsi="Calibri" w:cs="Calibri"/>
          <w:sz w:val="19"/>
          <w:szCs w:val="19"/>
        </w:rPr>
        <w:t xml:space="preserve"> term is the structural difference between swapping and charging and is routinely omitted; its inclusion is what makes the ownership question tractable, and its sensitivity to the electricity tariff is what places the problem within energy economics.</w:t>
      </w:r>
    </w:p>
    <w:p w14:paraId="179EAA39" w14:textId="77777777" w:rsidR="00884205" w:rsidRDefault="00000000">
      <w:pPr>
        <w:spacing w:before="180" w:after="70"/>
      </w:pPr>
      <w:r>
        <w:rPr>
          <w:rFonts w:ascii="Calibri" w:eastAsia="Calibri" w:hAnsi="Calibri" w:cs="Calibri"/>
          <w:b/>
          <w:bCs/>
          <w:sz w:val="21"/>
          <w:szCs w:val="21"/>
        </w:rPr>
        <w:t>Results and Findings</w:t>
      </w:r>
    </w:p>
    <w:p w14:paraId="3CF50414" w14:textId="77777777" w:rsidR="00884205" w:rsidRDefault="00000000">
      <w:pPr>
        <w:spacing w:after="100" w:line="250" w:lineRule="auto"/>
        <w:jc w:val="both"/>
      </w:pPr>
      <w:r>
        <w:rPr>
          <w:rFonts w:ascii="Calibri" w:eastAsia="Calibri" w:hAnsi="Calibri" w:cs="Calibri"/>
          <w:sz w:val="19"/>
          <w:szCs w:val="19"/>
        </w:rPr>
        <w:t>Preliminary coding of the evidence base yields three findings, reported here in advance of the full calibrated solution.</w:t>
      </w:r>
    </w:p>
    <w:p w14:paraId="1EAA5606" w14:textId="77777777" w:rsidR="00884205" w:rsidRDefault="00000000">
      <w:pPr>
        <w:spacing w:after="100" w:line="250" w:lineRule="auto"/>
        <w:jc w:val="both"/>
      </w:pPr>
      <w:r>
        <w:rPr>
          <w:rFonts w:ascii="Calibri" w:eastAsia="Calibri" w:hAnsi="Calibri" w:cs="Calibri"/>
          <w:b/>
          <w:bCs/>
          <w:sz w:val="19"/>
          <w:szCs w:val="19"/>
        </w:rPr>
        <w:t>First, throughput separates the surviving networks from the struggling ones by vehicle segment, not by technology.</w:t>
      </w:r>
      <w:r>
        <w:rPr>
          <w:rFonts w:ascii="Calibri" w:eastAsia="Calibri" w:hAnsi="Calibri" w:cs="Calibri"/>
          <w:sz w:val="19"/>
          <w:szCs w:val="19"/>
        </w:rPr>
        <w:t xml:space="preserve"> Gogoro reports approximately 370,000 daily swaps across around 2,700 stations, or roughly 137 swaps per station per day. NIO completed over one million swaps during the seven-day May 2026 holiday across 3,851 stations — approximately 37 per station per day at a national peak-travel period, against an independent break-even estimate near 61. The two-wheeler network operates at roughly 3.7 times the per-station throughput of the four-wheeler network, and it is the two-wheeler network that has reached positive operating cash flow.</w:t>
      </w:r>
    </w:p>
    <w:p w14:paraId="07B2E718" w14:textId="77777777" w:rsidR="00884205" w:rsidRDefault="00000000">
      <w:pPr>
        <w:spacing w:after="100" w:line="250" w:lineRule="auto"/>
        <w:jc w:val="both"/>
      </w:pPr>
      <w:r>
        <w:rPr>
          <w:rFonts w:ascii="Calibri" w:eastAsia="Calibri" w:hAnsi="Calibri" w:cs="Calibri"/>
          <w:b/>
          <w:bCs/>
          <w:sz w:val="19"/>
          <w:szCs w:val="19"/>
        </w:rPr>
        <w:t>Second, the largest networks did not resolve the capital problem commercially; they relocated it.</w:t>
      </w:r>
      <w:r>
        <w:rPr>
          <w:rFonts w:ascii="Calibri" w:eastAsia="Calibri" w:hAnsi="Calibri" w:cs="Calibri"/>
          <w:sz w:val="19"/>
          <w:szCs w:val="19"/>
        </w:rPr>
        <w:t xml:space="preserve"> NIO has invested over CNY 20 billion in charging and swap infrastructure since 2018 and states that the swap business is not independently profitable. In August 2026 its swap assets began transferring to a state-owned enterprise, following an earlier asset-holding vehicle formed with a provincial energy group and a battery manufacturer. Gogoro reached its fifth consecutive quarter of positive operating cash flow in mid-2026 only after governance passed from founder to investor control and strategy shifted from expansion to cost containment. In both cases the network survived by changing whose balance sheet carried the battery inventory.</w:t>
      </w:r>
    </w:p>
    <w:p w14:paraId="75583F0F" w14:textId="77777777" w:rsidR="00884205" w:rsidRDefault="00000000">
      <w:pPr>
        <w:spacing w:after="100" w:line="250" w:lineRule="auto"/>
        <w:jc w:val="both"/>
      </w:pPr>
      <w:r>
        <w:rPr>
          <w:rFonts w:ascii="Calibri" w:eastAsia="Calibri" w:hAnsi="Calibri" w:cs="Calibri"/>
          <w:b/>
          <w:bCs/>
          <w:sz w:val="19"/>
          <w:szCs w:val="19"/>
        </w:rPr>
        <w:lastRenderedPageBreak/>
        <w:t>Third, the failures share a configuration, and it is not the inverse of the successes.</w:t>
      </w:r>
      <w:r>
        <w:rPr>
          <w:rFonts w:ascii="Calibri" w:eastAsia="Calibri" w:hAnsi="Calibri" w:cs="Calibri"/>
          <w:sz w:val="19"/>
          <w:szCs w:val="19"/>
        </w:rPr>
        <w:t xml:space="preserve"> Every consumer-facing, multi-manufacturer, passenger-car swap venture in a market with abundant home charging has failed, irrespective of capital raised or technical sophistication. Where a household can charge overnight at a domestic tariff, a swap priced near fast-charging rates offers no durable advantage. Conversely, where the vehicle is a production asset with monetised downtime, swapping wins even without an enforced standard. India illustrates the boundary precisely: swapping has been adopted across commercial two- and three-wheeler fleets, while none of the four largest consumer scooter manufacturers offers network-swappable batteries. Two named frictions persist there — the absence of a binding interoperability mandate despite policy drafting since 2022, and a tax asymmetry in which standalone batteries attract 18 per cent GST against 5 per cent for a complete vehicle, penalising every model that separates battery from vehicle.</w:t>
      </w:r>
    </w:p>
    <w:p w14:paraId="55781D41" w14:textId="77777777" w:rsidR="00884205" w:rsidRDefault="00000000">
      <w:pPr>
        <w:spacing w:before="180" w:after="70"/>
      </w:pPr>
      <w:r>
        <w:rPr>
          <w:rFonts w:ascii="Calibri" w:eastAsia="Calibri" w:hAnsi="Calibri" w:cs="Calibri"/>
          <w:b/>
          <w:bCs/>
          <w:sz w:val="21"/>
          <w:szCs w:val="21"/>
        </w:rPr>
        <w:t>Conclusions</w:t>
      </w:r>
    </w:p>
    <w:p w14:paraId="7C073BB9" w14:textId="77777777" w:rsidR="00884205" w:rsidRDefault="00000000">
      <w:pPr>
        <w:spacing w:after="100" w:line="250" w:lineRule="auto"/>
        <w:jc w:val="both"/>
      </w:pPr>
      <w:r>
        <w:rPr>
          <w:rFonts w:ascii="Calibri" w:eastAsia="Calibri" w:hAnsi="Calibri" w:cs="Calibri"/>
          <w:sz w:val="19"/>
          <w:szCs w:val="19"/>
        </w:rPr>
        <w:t>The viability of battery swapping is determined by fleet utilisation and by who can carry the battery inventory, not by charging speed. Three conclusions follow for policy.</w:t>
      </w:r>
    </w:p>
    <w:p w14:paraId="3C8B24BD" w14:textId="77777777" w:rsidR="00884205" w:rsidRDefault="00000000">
      <w:pPr>
        <w:spacing w:after="100" w:line="250" w:lineRule="auto"/>
        <w:jc w:val="both"/>
      </w:pPr>
      <w:r>
        <w:rPr>
          <w:rFonts w:ascii="Calibri" w:eastAsia="Calibri" w:hAnsi="Calibri" w:cs="Calibri"/>
          <w:sz w:val="19"/>
          <w:szCs w:val="19"/>
        </w:rPr>
        <w:t xml:space="preserve">Battery swapping should be evaluated as an </w:t>
      </w:r>
      <w:r>
        <w:rPr>
          <w:rFonts w:ascii="Calibri" w:eastAsia="Calibri" w:hAnsi="Calibri" w:cs="Calibri"/>
          <w:b/>
          <w:bCs/>
          <w:sz w:val="19"/>
          <w:szCs w:val="19"/>
        </w:rPr>
        <w:t>energy asset ownership question</w:t>
      </w:r>
      <w:r>
        <w:rPr>
          <w:rFonts w:ascii="Calibri" w:eastAsia="Calibri" w:hAnsi="Calibri" w:cs="Calibri"/>
          <w:sz w:val="19"/>
          <w:szCs w:val="19"/>
        </w:rPr>
        <w:t xml:space="preserve"> rather than a refuelling technology. The relevant appraisal variable is the carrying cost of resident inventory, which scales with network coverage and is therefore worsened, not improved, by coverage-driven deployment targets.</w:t>
      </w:r>
    </w:p>
    <w:p w14:paraId="410D3C27" w14:textId="77777777" w:rsidR="00884205" w:rsidRDefault="00000000">
      <w:pPr>
        <w:spacing w:after="100" w:line="250" w:lineRule="auto"/>
        <w:jc w:val="both"/>
      </w:pPr>
      <w:r>
        <w:rPr>
          <w:rFonts w:ascii="Calibri" w:eastAsia="Calibri" w:hAnsi="Calibri" w:cs="Calibri"/>
          <w:sz w:val="19"/>
          <w:szCs w:val="19"/>
        </w:rPr>
        <w:t xml:space="preserve">For emerging economies with motorcycle-dominant fleets, the binding constraint is usually </w:t>
      </w:r>
      <w:r>
        <w:rPr>
          <w:rFonts w:ascii="Calibri" w:eastAsia="Calibri" w:hAnsi="Calibri" w:cs="Calibri"/>
          <w:b/>
          <w:bCs/>
          <w:sz w:val="19"/>
          <w:szCs w:val="19"/>
        </w:rPr>
        <w:t>enforced pack interoperability</w:t>
      </w:r>
      <w:r>
        <w:rPr>
          <w:rFonts w:ascii="Calibri" w:eastAsia="Calibri" w:hAnsi="Calibri" w:cs="Calibri"/>
          <w:sz w:val="19"/>
          <w:szCs w:val="19"/>
        </w:rPr>
        <w:t>, not station count or purchase subsidy. Indonesia satisfies most conditions in the framework — motorcycle dominance, large ride-hail and delivery fleets, dense urban housing without domestic charging access, legal recognition of battery leasing, and a state utility able to hold assets — but lacks a binding standard. Units deployed before that mandate exists are built into incompatible networks that will require replacement, which is a fiscal argument for sequencing standardisation ahead of deployment.</w:t>
      </w:r>
    </w:p>
    <w:p w14:paraId="33C987AC" w14:textId="77777777" w:rsidR="00884205" w:rsidRDefault="00000000">
      <w:pPr>
        <w:spacing w:after="100" w:line="250" w:lineRule="auto"/>
        <w:jc w:val="both"/>
      </w:pPr>
      <w:r>
        <w:rPr>
          <w:rFonts w:ascii="Calibri" w:eastAsia="Calibri" w:hAnsi="Calibri" w:cs="Calibri"/>
          <w:sz w:val="19"/>
          <w:szCs w:val="19"/>
        </w:rPr>
        <w:t>For the MENA region the finding transfers unevenly, and the paper says so. Gulf passenger-vehicle markets satisfy few of the identified conditions, and the framework predicts that consumer swapping there would fail. Two applications remain strong: heavy-duty and mining fleets, where continuous utilisation restores the economics and where dedicated heavy-truck swap networks are already scaling in China; and the region’s substantial non-Gulf two- and three-wheeler economies, which share the structure of the Asian cases and are largely absent from the energy-economics literature. Most broadly, the ownership finding speaks directly to sovereign and utility investors currently deciding which long-payback energy assets they must hold themselves.</w:t>
      </w:r>
    </w:p>
    <w:p w14:paraId="5566B3B7" w14:textId="77777777" w:rsidR="00884205" w:rsidRDefault="00000000">
      <w:pPr>
        <w:spacing w:before="180" w:after="70"/>
      </w:pPr>
      <w:r>
        <w:rPr>
          <w:rFonts w:ascii="Calibri" w:eastAsia="Calibri" w:hAnsi="Calibri" w:cs="Calibri"/>
          <w:b/>
          <w:bCs/>
          <w:sz w:val="21"/>
          <w:szCs w:val="21"/>
        </w:rPr>
        <w:t>References</w:t>
      </w:r>
    </w:p>
    <w:p w14:paraId="60095257" w14:textId="77777777" w:rsidR="00884205" w:rsidRDefault="00000000">
      <w:pPr>
        <w:spacing w:after="40" w:line="210" w:lineRule="auto"/>
        <w:ind w:left="240" w:hanging="240"/>
        <w:jc w:val="both"/>
      </w:pPr>
      <w:proofErr w:type="spellStart"/>
      <w:r>
        <w:rPr>
          <w:rFonts w:ascii="Calibri" w:eastAsia="Calibri" w:hAnsi="Calibri" w:cs="Calibri"/>
          <w:sz w:val="16"/>
          <w:szCs w:val="16"/>
        </w:rPr>
        <w:t>Fischhendler</w:t>
      </w:r>
      <w:proofErr w:type="spellEnd"/>
      <w:r>
        <w:rPr>
          <w:rFonts w:ascii="Calibri" w:eastAsia="Calibri" w:hAnsi="Calibri" w:cs="Calibri"/>
          <w:sz w:val="16"/>
          <w:szCs w:val="16"/>
        </w:rPr>
        <w:t xml:space="preserve">, I., Herman, L. and Maoz, N. (2016) Why did Better Place fail? Range anxiety, interpretive flexibility, and electric vehicle promotion in Denmark and Israel. </w:t>
      </w:r>
      <w:r>
        <w:rPr>
          <w:rFonts w:ascii="Calibri" w:eastAsia="Calibri" w:hAnsi="Calibri" w:cs="Calibri"/>
          <w:i/>
          <w:iCs/>
          <w:sz w:val="16"/>
          <w:szCs w:val="16"/>
        </w:rPr>
        <w:t>Energy Policy</w:t>
      </w:r>
      <w:r>
        <w:rPr>
          <w:rFonts w:ascii="Calibri" w:eastAsia="Calibri" w:hAnsi="Calibri" w:cs="Calibri"/>
          <w:sz w:val="16"/>
          <w:szCs w:val="16"/>
        </w:rPr>
        <w:t>, 98, 361–372.</w:t>
      </w:r>
    </w:p>
    <w:p w14:paraId="60A8ABCB" w14:textId="77777777" w:rsidR="00884205" w:rsidRDefault="00000000">
      <w:pPr>
        <w:spacing w:after="40" w:line="210" w:lineRule="auto"/>
        <w:ind w:left="240" w:hanging="240"/>
        <w:jc w:val="both"/>
      </w:pPr>
      <w:r>
        <w:rPr>
          <w:rFonts w:ascii="Calibri" w:eastAsia="Calibri" w:hAnsi="Calibri" w:cs="Calibri"/>
          <w:sz w:val="16"/>
          <w:szCs w:val="16"/>
        </w:rPr>
        <w:t xml:space="preserve">Hardman, S. et al. (2018) A review of consumer preferences of and interactions with electric vehicle charging infrastructure. </w:t>
      </w:r>
      <w:r>
        <w:rPr>
          <w:rFonts w:ascii="Calibri" w:eastAsia="Calibri" w:hAnsi="Calibri" w:cs="Calibri"/>
          <w:i/>
          <w:iCs/>
          <w:sz w:val="16"/>
          <w:szCs w:val="16"/>
        </w:rPr>
        <w:t>Transportation Research Part D</w:t>
      </w:r>
      <w:r>
        <w:rPr>
          <w:rFonts w:ascii="Calibri" w:eastAsia="Calibri" w:hAnsi="Calibri" w:cs="Calibri"/>
          <w:sz w:val="16"/>
          <w:szCs w:val="16"/>
        </w:rPr>
        <w:t>, 62, 508–523.</w:t>
      </w:r>
    </w:p>
    <w:p w14:paraId="41D382EE" w14:textId="77777777" w:rsidR="00884205" w:rsidRDefault="00000000">
      <w:pPr>
        <w:spacing w:after="40" w:line="210" w:lineRule="auto"/>
        <w:ind w:left="240" w:hanging="240"/>
        <w:jc w:val="both"/>
      </w:pPr>
      <w:r>
        <w:rPr>
          <w:rFonts w:ascii="Calibri" w:eastAsia="Calibri" w:hAnsi="Calibri" w:cs="Calibri"/>
          <w:sz w:val="16"/>
          <w:szCs w:val="16"/>
        </w:rPr>
        <w:t xml:space="preserve">International Energy Agency (2026) </w:t>
      </w:r>
      <w:r>
        <w:rPr>
          <w:rFonts w:ascii="Calibri" w:eastAsia="Calibri" w:hAnsi="Calibri" w:cs="Calibri"/>
          <w:i/>
          <w:iCs/>
          <w:sz w:val="16"/>
          <w:szCs w:val="16"/>
        </w:rPr>
        <w:t>Global EV Outlook 2026</w:t>
      </w:r>
      <w:r>
        <w:rPr>
          <w:rFonts w:ascii="Calibri" w:eastAsia="Calibri" w:hAnsi="Calibri" w:cs="Calibri"/>
          <w:sz w:val="16"/>
          <w:szCs w:val="16"/>
        </w:rPr>
        <w:t>. Paris: IEA.</w:t>
      </w:r>
    </w:p>
    <w:p w14:paraId="6A52CBC9" w14:textId="77777777" w:rsidR="00884205" w:rsidRDefault="00000000">
      <w:pPr>
        <w:spacing w:after="40" w:line="210" w:lineRule="auto"/>
        <w:ind w:left="240" w:hanging="240"/>
        <w:jc w:val="both"/>
      </w:pPr>
      <w:r>
        <w:rPr>
          <w:rFonts w:ascii="Calibri" w:eastAsia="Calibri" w:hAnsi="Calibri" w:cs="Calibri"/>
          <w:sz w:val="16"/>
          <w:szCs w:val="16"/>
        </w:rPr>
        <w:t xml:space="preserve">NITI Aayog (2022) </w:t>
      </w:r>
      <w:r>
        <w:rPr>
          <w:rFonts w:ascii="Calibri" w:eastAsia="Calibri" w:hAnsi="Calibri" w:cs="Calibri"/>
          <w:i/>
          <w:iCs/>
          <w:sz w:val="16"/>
          <w:szCs w:val="16"/>
        </w:rPr>
        <w:t>Draft Battery Swapping Policy</w:t>
      </w:r>
      <w:r>
        <w:rPr>
          <w:rFonts w:ascii="Calibri" w:eastAsia="Calibri" w:hAnsi="Calibri" w:cs="Calibri"/>
          <w:sz w:val="16"/>
          <w:szCs w:val="16"/>
        </w:rPr>
        <w:t>. Government of India.</w:t>
      </w:r>
    </w:p>
    <w:p w14:paraId="0560CA5F" w14:textId="77777777" w:rsidR="00884205" w:rsidRDefault="00000000">
      <w:pPr>
        <w:spacing w:after="40" w:line="210" w:lineRule="auto"/>
        <w:ind w:left="240" w:hanging="240"/>
        <w:jc w:val="both"/>
      </w:pPr>
      <w:r>
        <w:rPr>
          <w:rFonts w:ascii="Calibri" w:eastAsia="Calibri" w:hAnsi="Calibri" w:cs="Calibri"/>
          <w:sz w:val="16"/>
          <w:szCs w:val="16"/>
        </w:rPr>
        <w:t xml:space="preserve">Ragin, C.C. (2008) </w:t>
      </w:r>
      <w:r>
        <w:rPr>
          <w:rFonts w:ascii="Calibri" w:eastAsia="Calibri" w:hAnsi="Calibri" w:cs="Calibri"/>
          <w:i/>
          <w:iCs/>
          <w:sz w:val="16"/>
          <w:szCs w:val="16"/>
        </w:rPr>
        <w:t>Redesigning Social Inquiry: Fuzzy Sets and Beyond</w:t>
      </w:r>
      <w:r>
        <w:rPr>
          <w:rFonts w:ascii="Calibri" w:eastAsia="Calibri" w:hAnsi="Calibri" w:cs="Calibri"/>
          <w:sz w:val="16"/>
          <w:szCs w:val="16"/>
        </w:rPr>
        <w:t>. Chicago: University of Chicago Press.</w:t>
      </w:r>
    </w:p>
    <w:p w14:paraId="6D4044A6" w14:textId="77777777" w:rsidR="00884205" w:rsidRDefault="00000000">
      <w:pPr>
        <w:spacing w:after="40" w:line="210" w:lineRule="auto"/>
        <w:ind w:left="240" w:hanging="240"/>
        <w:jc w:val="both"/>
      </w:pPr>
      <w:r>
        <w:rPr>
          <w:rFonts w:ascii="Calibri" w:eastAsia="Calibri" w:hAnsi="Calibri" w:cs="Calibri"/>
          <w:sz w:val="16"/>
          <w:szCs w:val="16"/>
        </w:rPr>
        <w:t xml:space="preserve">Republic of Indonesia (2023) </w:t>
      </w:r>
      <w:r>
        <w:rPr>
          <w:rFonts w:ascii="Calibri" w:eastAsia="Calibri" w:hAnsi="Calibri" w:cs="Calibri"/>
          <w:i/>
          <w:iCs/>
          <w:sz w:val="16"/>
          <w:szCs w:val="16"/>
        </w:rPr>
        <w:t>Presidential Regulation No. 79/2023</w:t>
      </w:r>
      <w:r>
        <w:rPr>
          <w:rFonts w:ascii="Calibri" w:eastAsia="Calibri" w:hAnsi="Calibri" w:cs="Calibri"/>
          <w:sz w:val="16"/>
          <w:szCs w:val="16"/>
        </w:rPr>
        <w:t xml:space="preserve"> amending Regulation No. 55/2019 on the Acceleration of Battery Electric Vehicles for Road Transport.</w:t>
      </w:r>
    </w:p>
    <w:p w14:paraId="55967F9A" w14:textId="77777777" w:rsidR="00884205" w:rsidRDefault="00000000">
      <w:pPr>
        <w:spacing w:after="40" w:line="210" w:lineRule="auto"/>
        <w:ind w:left="240" w:hanging="240"/>
        <w:jc w:val="both"/>
      </w:pPr>
      <w:r>
        <w:rPr>
          <w:rFonts w:ascii="Calibri" w:eastAsia="Calibri" w:hAnsi="Calibri" w:cs="Calibri"/>
          <w:sz w:val="16"/>
          <w:szCs w:val="16"/>
        </w:rPr>
        <w:t xml:space="preserve">Schneider, C.Q. and Wagemann, C. (2012) </w:t>
      </w:r>
      <w:r>
        <w:rPr>
          <w:rFonts w:ascii="Calibri" w:eastAsia="Calibri" w:hAnsi="Calibri" w:cs="Calibri"/>
          <w:i/>
          <w:iCs/>
          <w:sz w:val="16"/>
          <w:szCs w:val="16"/>
        </w:rPr>
        <w:t>Set-Theoretic Methods for the Social Sciences</w:t>
      </w:r>
      <w:r>
        <w:rPr>
          <w:rFonts w:ascii="Calibri" w:eastAsia="Calibri" w:hAnsi="Calibri" w:cs="Calibri"/>
          <w:sz w:val="16"/>
          <w:szCs w:val="16"/>
        </w:rPr>
        <w:t>. Cambridge University Press.</w:t>
      </w:r>
    </w:p>
    <w:p w14:paraId="09AA14FC" w14:textId="77777777" w:rsidR="00884205" w:rsidRDefault="00000000">
      <w:pPr>
        <w:spacing w:after="40" w:line="210" w:lineRule="auto"/>
        <w:ind w:left="240" w:hanging="240"/>
        <w:jc w:val="both"/>
      </w:pPr>
      <w:r>
        <w:rPr>
          <w:rFonts w:ascii="Calibri" w:eastAsia="Calibri" w:hAnsi="Calibri" w:cs="Calibri"/>
          <w:sz w:val="16"/>
          <w:szCs w:val="16"/>
        </w:rPr>
        <w:t>Company disclosures and industry reporting on NIO and Gogoro network scale, throughput and ownership restructuring, January–August 2026.</w:t>
      </w:r>
    </w:p>
    <w:sectPr w:rsidR="00884205">
      <w:pgSz w:w="11906" w:h="16838"/>
      <w:pgMar w:top="1020" w:right="1247" w:bottom="907" w:left="124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0261E3"/>
    <w:multiLevelType w:val="hybridMultilevel"/>
    <w:tmpl w:val="F8BCF4CA"/>
    <w:lvl w:ilvl="0" w:tplc="7CFA1DFA">
      <w:start w:val="1"/>
      <w:numFmt w:val="bullet"/>
      <w:lvlText w:val="●"/>
      <w:lvlJc w:val="left"/>
      <w:pPr>
        <w:ind w:left="720" w:hanging="360"/>
      </w:pPr>
    </w:lvl>
    <w:lvl w:ilvl="1" w:tplc="8A9AC8C0">
      <w:start w:val="1"/>
      <w:numFmt w:val="bullet"/>
      <w:lvlText w:val="○"/>
      <w:lvlJc w:val="left"/>
      <w:pPr>
        <w:ind w:left="1440" w:hanging="360"/>
      </w:pPr>
    </w:lvl>
    <w:lvl w:ilvl="2" w:tplc="0A9683CA">
      <w:start w:val="1"/>
      <w:numFmt w:val="bullet"/>
      <w:lvlText w:val="■"/>
      <w:lvlJc w:val="left"/>
      <w:pPr>
        <w:ind w:left="2160" w:hanging="360"/>
      </w:pPr>
    </w:lvl>
    <w:lvl w:ilvl="3" w:tplc="75A80D84">
      <w:start w:val="1"/>
      <w:numFmt w:val="bullet"/>
      <w:lvlText w:val="●"/>
      <w:lvlJc w:val="left"/>
      <w:pPr>
        <w:ind w:left="2880" w:hanging="360"/>
      </w:pPr>
    </w:lvl>
    <w:lvl w:ilvl="4" w:tplc="CBF2893C">
      <w:start w:val="1"/>
      <w:numFmt w:val="bullet"/>
      <w:lvlText w:val="○"/>
      <w:lvlJc w:val="left"/>
      <w:pPr>
        <w:ind w:left="3600" w:hanging="360"/>
      </w:pPr>
    </w:lvl>
    <w:lvl w:ilvl="5" w:tplc="289AE6BE">
      <w:start w:val="1"/>
      <w:numFmt w:val="bullet"/>
      <w:lvlText w:val="■"/>
      <w:lvlJc w:val="left"/>
      <w:pPr>
        <w:ind w:left="4320" w:hanging="360"/>
      </w:pPr>
    </w:lvl>
    <w:lvl w:ilvl="6" w:tplc="911C8D18">
      <w:start w:val="1"/>
      <w:numFmt w:val="bullet"/>
      <w:lvlText w:val="●"/>
      <w:lvlJc w:val="left"/>
      <w:pPr>
        <w:ind w:left="5040" w:hanging="360"/>
      </w:pPr>
    </w:lvl>
    <w:lvl w:ilvl="7" w:tplc="5BA66972">
      <w:start w:val="1"/>
      <w:numFmt w:val="bullet"/>
      <w:lvlText w:val="●"/>
      <w:lvlJc w:val="left"/>
      <w:pPr>
        <w:ind w:left="5760" w:hanging="360"/>
      </w:pPr>
    </w:lvl>
    <w:lvl w:ilvl="8" w:tplc="98FA58B6">
      <w:start w:val="1"/>
      <w:numFmt w:val="bullet"/>
      <w:lvlText w:val="●"/>
      <w:lvlJc w:val="left"/>
      <w:pPr>
        <w:ind w:left="6480" w:hanging="360"/>
      </w:pPr>
    </w:lvl>
  </w:abstractNum>
  <w:num w:numId="1" w16cid:durableId="171542803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205"/>
    <w:rsid w:val="00003475"/>
    <w:rsid w:val="002415F4"/>
    <w:rsid w:val="0088420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1C090487"/>
  <w15:docId w15:val="{846F38EB-E46D-1441-8A0B-71A7FC5D5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1431</Words>
  <Characters>8160</Characters>
  <Application>Microsoft Office Word</Application>
  <DocSecurity>0</DocSecurity>
  <Lines>68</Lines>
  <Paragraphs>19</Paragraphs>
  <ScaleCrop>false</ScaleCrop>
  <Company/>
  <LinksUpToDate>false</LinksUpToDate>
  <CharactersWithSpaces>9572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qashtalani haramaini</cp:lastModifiedBy>
  <cp:revision>2</cp:revision>
  <dcterms:created xsi:type="dcterms:W3CDTF">2026-09-02T03:32:00Z</dcterms:created>
  <dcterms:modified xsi:type="dcterms:W3CDTF">2026-09-02T03:32:00Z</dcterms:modified>
</cp:coreProperties>
</file>