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40"/>
        <w:jc w:val="center"/>
      </w:pPr>
      <w:r>
        <w:rPr>
          <w:rFonts w:ascii="Times New Roman" w:cs="Times New Roman" w:eastAsia="Times New Roman" w:hAnsi="Times New Roman"/>
          <w:b/>
          <w:bCs/>
          <w:sz w:val="26"/>
          <w:szCs w:val="26"/>
        </w:rPr>
        <w:t xml:space="preserve">CAPACITY MAPS AS AN EQUITY INSTRUMENT: PUBLISHING CHARGING DEMAND AND NETWORK HEADROOM AS OPEN DATA IN A VERTICALLY INTEGRATED DSO</w:t>
      </w:r>
    </w:p>
    <w:tbl>
      <w:tblPr>
        <w:tblW w:type="dxa" w:w="9638"/>
        <w:tblBorders>
          <w:top w:val="none"/>
          <w:left w:val="none"/>
          <w:bottom w:val="none"/>
          <w:right w:val="none"/>
          <w:insideH w:val="none"/>
          <w:insideV w:val="none"/>
        </w:tblBorders>
      </w:tblPr>
      <w:tblGrid>
        <w:gridCol w:w="3213"/>
        <w:gridCol w:w="3213"/>
        <w:gridCol w:w="3212"/>
      </w:tblGrid>
      <w:tr>
        <w:tc>
          <w:tcPr>
            <w:tcW w:type="dxa" w:w="3213"/>
            <w:tcBorders>
              <w:top w:val="none"/>
              <w:left w:val="none"/>
              <w:bottom w:val="none"/>
              <w:right w:val="none"/>
            </w:tcBorders>
          </w:tcPr>
          <w:p>
            <w:pPr>
              <w:jc w:val="center"/>
            </w:pPr>
            <w:r>
              <w:rPr>
                <w:rFonts w:ascii="Times New Roman" w:cs="Times New Roman" w:eastAsia="Times New Roman" w:hAnsi="Times New Roman"/>
                <w:b/>
                <w:bCs/>
                <w:sz w:val="17"/>
                <w:szCs w:val="17"/>
              </w:rPr>
              <w:t xml:space="preserve">Qashtalani HARAMAINI</w:t>
            </w:r>
          </w:p>
          <w:p>
            <w:pPr>
              <w:jc w:val="center"/>
            </w:pPr>
            <w:r>
              <w:rPr>
                <w:rFonts w:ascii="Times New Roman" w:cs="Times New Roman" w:eastAsia="Times New Roman" w:hAnsi="Times New Roman"/>
                <w:b w:val="false"/>
                <w:bCs w:val="false"/>
                <w:sz w:val="17"/>
                <w:szCs w:val="17"/>
              </w:rPr>
              <w:t xml:space="preserve">Monash University Indonesia / PT PLN (Persero) UID Jawa Barat – Indonesia</w:t>
            </w:r>
          </w:p>
          <w:p>
            <w:pPr>
              <w:jc w:val="center"/>
            </w:pPr>
            <w:r>
              <w:rPr>
                <w:rFonts w:ascii="Times New Roman" w:cs="Times New Roman" w:eastAsia="Times New Roman" w:hAnsi="Times New Roman"/>
                <w:b w:val="false"/>
                <w:bCs w:val="false"/>
                <w:sz w:val="17"/>
                <w:szCs w:val="17"/>
              </w:rPr>
              <w:t xml:space="preserve">qashtalani.haramaini@monash.edu</w:t>
            </w:r>
          </w:p>
        </w:tc>
        <w:tc>
          <w:tcPr>
            <w:tcW w:type="dxa" w:w="3213"/>
            <w:tcBorders>
              <w:top w:val="none"/>
              <w:left w:val="none"/>
              <w:bottom w:val="none"/>
              <w:right w:val="none"/>
            </w:tcBorders>
          </w:tcPr>
          <w:p>
            <w:pPr>
              <w:jc w:val="center"/>
            </w:pPr>
            <w:r>
              <w:rPr>
                <w:rFonts w:ascii="Times New Roman" w:cs="Times New Roman" w:eastAsia="Times New Roman" w:hAnsi="Times New Roman"/>
                <w:b/>
                <w:bCs/>
                <w:sz w:val="17"/>
                <w:szCs w:val="17"/>
              </w:rPr>
              <w:t xml:space="preserve">Alyas WIDITA</w:t>
            </w:r>
          </w:p>
          <w:p>
            <w:pPr>
              <w:jc w:val="center"/>
            </w:pPr>
            <w:r>
              <w:rPr>
                <w:rFonts w:ascii="Times New Roman" w:cs="Times New Roman" w:eastAsia="Times New Roman" w:hAnsi="Times New Roman"/>
                <w:b w:val="false"/>
                <w:bCs w:val="false"/>
                <w:sz w:val="17"/>
                <w:szCs w:val="17"/>
              </w:rPr>
              <w:t xml:space="preserve">Monash University Indonesia – Indonesia</w:t>
            </w:r>
          </w:p>
          <w:p>
            <w:pPr>
              <w:jc w:val="center"/>
            </w:pPr>
            <w:r>
              <w:rPr>
                <w:rFonts w:ascii="Times New Roman" w:cs="Times New Roman" w:eastAsia="Times New Roman" w:hAnsi="Times New Roman"/>
                <w:b w:val="false"/>
                <w:bCs w:val="false"/>
                <w:sz w:val="17"/>
                <w:szCs w:val="17"/>
              </w:rPr>
              <w:t xml:space="preserve">alyas.widita@monash.edu</w:t>
            </w:r>
          </w:p>
        </w:tc>
        <w:tc>
          <w:tcPr>
            <w:tcW w:type="dxa" w:w="3213"/>
            <w:tcBorders>
              <w:top w:val="none"/>
              <w:left w:val="none"/>
              <w:bottom w:val="none"/>
              <w:right w:val="none"/>
            </w:tcBorders>
          </w:tcPr>
          <w:p>
            <w:pPr>
              <w:jc w:val="center"/>
            </w:pPr>
            <w:r>
              <w:rPr>
                <w:rFonts w:ascii="Times New Roman" w:cs="Times New Roman" w:eastAsia="Times New Roman" w:hAnsi="Times New Roman"/>
                <w:b/>
                <w:bCs/>
                <w:sz w:val="17"/>
                <w:szCs w:val="17"/>
              </w:rPr>
              <w:t xml:space="preserve">Liz TAYLOR</w:t>
            </w:r>
          </w:p>
          <w:p>
            <w:pPr>
              <w:jc w:val="center"/>
            </w:pPr>
            <w:r>
              <w:rPr>
                <w:rFonts w:ascii="Times New Roman" w:cs="Times New Roman" w:eastAsia="Times New Roman" w:hAnsi="Times New Roman"/>
                <w:b w:val="false"/>
                <w:bCs w:val="false"/>
                <w:sz w:val="17"/>
                <w:szCs w:val="17"/>
              </w:rPr>
              <w:t xml:space="preserve">Monash University, MADA – Australia</w:t>
            </w:r>
          </w:p>
          <w:p>
            <w:pPr>
              <w:jc w:val="center"/>
            </w:pPr>
            <w:r>
              <w:rPr>
                <w:rFonts w:ascii="Times New Roman" w:cs="Times New Roman" w:eastAsia="Times New Roman" w:hAnsi="Times New Roman"/>
                <w:b w:val="false"/>
                <w:bCs w:val="false"/>
                <w:sz w:val="17"/>
                <w:szCs w:val="17"/>
              </w:rPr>
              <w:t xml:space="preserve">liz.taylor@monash.edu</w:t>
            </w:r>
          </w:p>
        </w:tc>
      </w:tr>
    </w:tbl>
    <w:p>
      <w:pPr>
        <w:spacing w:after="120" w:line="240"/>
        <w:jc w:val="both"/>
      </w:pPr>
      <w:r>
        <w:rPr>
          <w:rFonts w:ascii="Times New Roman" w:cs="Times New Roman" w:eastAsia="Times New Roman" w:hAnsi="Times New Roman"/>
          <w:sz w:val="19"/>
          <w:szCs w:val="19"/>
        </w:rPr>
        <w:t xml:space="preserve"/>
      </w:r>
    </w:p>
    <w:p>
      <w:pPr>
        <w:sectPr>
          <w:headerReference w:type="default" r:id="rId7"/>
          <w:footerReference w:type="default" r:id="rId8"/>
          <w:pgSz w:w="11906" w:h="16838" w:orient="portrait"/>
          <w:pgMar w:top="1134" w:right="1134" w:bottom="1134" w:left="1134" w:header="500" w:footer="500" w:gutter="0"/>
          <w:pgNumType/>
          <w:docGrid w:linePitch="360"/>
        </w:sectPr>
      </w:pPr>
    </w:p>
    <w:p>
      <w:pPr>
        <w:keepNext/>
        <w:spacing w:after="40" w:line="240"/>
        <w:jc w:val="left"/>
      </w:pPr>
      <w:r>
        <w:rPr>
          <w:rFonts w:ascii="Times New Roman" w:cs="Times New Roman" w:eastAsia="Times New Roman" w:hAnsi="Times New Roman"/>
          <w:b/>
          <w:bCs/>
          <w:sz w:val="20"/>
          <w:szCs w:val="20"/>
        </w:rPr>
        <w:t xml:space="preserve">ABSTRACT</w:t>
      </w:r>
    </w:p>
    <w:p>
      <w:pPr>
        <w:spacing w:after="60" w:line="240"/>
        <w:jc w:val="both"/>
      </w:pPr>
      <w:r>
        <w:rPr>
          <w:rFonts w:ascii="Times New Roman" w:cs="Times New Roman" w:eastAsia="Times New Roman" w:hAnsi="Times New Roman"/>
          <w:sz w:val="19"/>
          <w:szCs w:val="19"/>
        </w:rPr>
        <w:t xml:space="preserve">Distribution system operators (DSOs) increasingly publish hosting-capacity maps to steer connection applicants towards grid nodes with spare capacity. This paper argues that, in a fast-growing network with low electric-vehicle (EV) penetration, such a map is not neutral information but an allocation instrument: what the DSO chooses to publish determines where public charging is built and who is served. West Java, Indonesia, provides a rare test case because PT PLN is simultaneously the DSO and the dominant charge-point operator (CPO) and therefore holds both surfaces that are institutionally separated in Europe: transformer-level load and session-level charging demand. Fusing 53,797 distribution-transformer load surveys with primary-substation linkage, 101,020 charging sessions from 636 public chargers, and 3,687 geocoded registered EV customers on a 5 km grid, we show that (i) the existing charger roll-out tracks grid density rather than spare capacity; (ii) high-demand/low-headroom cells hold 12.8 % of EV owners but only 7.2 % of chargers; (iii) a headroom-only siting rule strands 30 % of a 50-site portfolio in low-demand cells and reaches 12 % fewer owners than a demand-within-headroom rule; (iv) transformer-level and substation-level headroom disagree in 51 % of served cells; and (v) the DSO’s load register is not publication-ready without cleaning, growth correction and aggregation. We propose a minimum standard for publishable two-surface capacity maps and argue that, where the DSO is also the CPO, publication is the functional substitute for unbundling.</w:t>
      </w:r>
    </w:p>
    <w:p>
      <w:pPr>
        <w:keepNext/>
        <w:spacing w:after="40" w:line="240"/>
        <w:jc w:val="left"/>
      </w:pPr>
      <w:r>
        <w:rPr>
          <w:rFonts w:ascii="Times New Roman" w:cs="Times New Roman" w:eastAsia="Times New Roman" w:hAnsi="Times New Roman"/>
          <w:b/>
          <w:bCs/>
          <w:sz w:val="20"/>
          <w:szCs w:val="20"/>
        </w:rPr>
        <w:t xml:space="preserve">1. INTRODUCTION</w:t>
      </w:r>
    </w:p>
    <w:p>
      <w:pPr>
        <w:spacing w:after="60" w:line="240"/>
        <w:jc w:val="both"/>
      </w:pPr>
      <w:r>
        <w:rPr>
          <w:rFonts w:ascii="Times New Roman" w:cs="Times New Roman" w:eastAsia="Times New Roman" w:hAnsi="Times New Roman"/>
          <w:sz w:val="19"/>
          <w:szCs w:val="19"/>
        </w:rPr>
        <w:t xml:space="preserve">Grid connection has become the binding constraint on public charging deployment in many jurisdictions [1,3]. In response, European regulation now requires system operators to publish available hosting capacity [1], and DSO associations treat capacity maps as a building block of a customer-oriented grid [2]. The maps are framed as transparency: they inform developers and shorten connection lead times.</w:t>
      </w:r>
    </w:p>
    <w:p>
      <w:pPr>
        <w:spacing w:after="60" w:line="240"/>
        <w:jc w:val="both"/>
      </w:pPr>
      <w:r>
        <w:rPr>
          <w:rFonts w:ascii="Times New Roman" w:cs="Times New Roman" w:eastAsia="Times New Roman" w:hAnsi="Times New Roman"/>
          <w:sz w:val="19"/>
          <w:szCs w:val="19"/>
        </w:rPr>
        <w:t xml:space="preserve">This paper starts from a different premise. A capacity map is a ranking of locations, and any ranking that drives investment is also a distribution of benefits. If the only published layer is network headroom, capital flows to where the grid is strong. In mature networks this is largely where load already is; in fast-growing, low-penetration networks it is where the last generation of investment went — typically urban cores and industrial corridors — which is also where charging demand is already served. A headroom-only map therefore tends to densify rather than to fill gaps. This is an energy-justice problem in the sense of Sovacool and Dworkin [6]: a distributive outcome produced by a procedural choice about what to disclose.</w:t>
      </w:r>
    </w:p>
    <w:p>
      <w:pPr>
        <w:spacing w:after="60" w:line="240"/>
        <w:jc w:val="both"/>
      </w:pPr>
      <w:r>
        <w:rPr>
          <w:rFonts w:ascii="Times New Roman" w:cs="Times New Roman" w:eastAsia="Times New Roman" w:hAnsi="Times New Roman"/>
          <w:sz w:val="19"/>
          <w:szCs w:val="19"/>
        </w:rPr>
        <w:t xml:space="preserve">Testing this claim empirically requires two surfaces that are rarely held by one organisation: network headroom (a DSO asset) and charging demand (a CPO asset). West Java offers both. PT PLN (Persero) is the vertically integrated utility; its distribution unit UID Jawa Barat operates the 20 kV and low-voltage network for 18.1 million customers, and PLN also operates most of the province’s public charging stations (SPKLU). The authors had access to the transformer load register, the charging transaction log and the EV customer register. To our knowledge this is the first study to overlay all three at province scale.</w:t>
      </w:r>
    </w:p>
    <w:p>
      <w:pPr>
        <w:spacing w:after="60" w:line="240"/>
        <w:jc w:val="both"/>
      </w:pPr>
      <w:r>
        <w:rPr>
          <w:rFonts w:ascii="Times New Roman" w:cs="Times New Roman" w:eastAsia="Times New Roman" w:hAnsi="Times New Roman"/>
          <w:sz w:val="19"/>
          <w:szCs w:val="19"/>
        </w:rPr>
        <w:t xml:space="preserve">The contributions are: (1) an empirical test of whether the existing roll-out responds to spare capacity; (2) a demand × headroom classification that isolates the locational equity gap; (3) a counterfactual comparison of three siting rules a DSO could implement through what it publishes; (4) evidence that single-level headroom misclassifies half of the served cells; and (5) a data-readiness audit that translates into a minimum disclosure standard.</w:t>
      </w:r>
    </w:p>
    <w:p>
      <w:pPr>
        <w:keepNext/>
        <w:spacing w:after="40" w:line="240"/>
        <w:jc w:val="left"/>
      </w:pPr>
      <w:r>
        <w:rPr>
          <w:rFonts w:ascii="Times New Roman" w:cs="Times New Roman" w:eastAsia="Times New Roman" w:hAnsi="Times New Roman"/>
          <w:b/>
          <w:bCs/>
          <w:sz w:val="20"/>
          <w:szCs w:val="20"/>
        </w:rPr>
        <w:t xml:space="preserve">2. BACKGROUND AND RESEARCH GAP</w:t>
      </w:r>
    </w:p>
    <w:p>
      <w:pPr>
        <w:keepNext/>
        <w:spacing w:after="30" w:line="240"/>
        <w:jc w:val="left"/>
      </w:pPr>
      <w:r>
        <w:rPr>
          <w:rFonts w:ascii="Times New Roman" w:cs="Times New Roman" w:eastAsia="Times New Roman" w:hAnsi="Times New Roman"/>
          <w:b/>
          <w:bCs/>
          <w:i/>
          <w:iCs/>
          <w:sz w:val="19"/>
          <w:szCs w:val="19"/>
        </w:rPr>
        <w:t xml:space="preserve">2.1 Hosting-capacity maps in Europe</w:t>
      </w:r>
    </w:p>
    <w:p>
      <w:pPr>
        <w:spacing w:after="60" w:line="240"/>
        <w:jc w:val="both"/>
      </w:pPr>
      <w:r>
        <w:rPr>
          <w:rFonts w:ascii="Times New Roman" w:cs="Times New Roman" w:eastAsia="Times New Roman" w:hAnsi="Times New Roman"/>
          <w:sz w:val="19"/>
          <w:szCs w:val="19"/>
        </w:rPr>
        <w:t xml:space="preserve">Hosting capacity is the amount of load or generation that can be connected without violating operational limits [8]. Its calculation is sensitive to method: Lennerhag et al. showed at CIRED 2017 that five methods yield widely different values and that measurement-based approaches raise usable capacity without added risk [4]. Since the 2024 electricity market reform, EU system operators must publish available capacity and the criteria used [1]; ENTSO-E and the EU DSO Entity were tasked with harmonised definitions and a pan-European overview. E.DSO’s survey of its members concludes that the priority is not full harmonisation but clearer definitions, stronger links to connection processes and a balanced approach to transparency [2]. ICCT’s 2025 inventory finds public grid-capacity maps for charging in only part of the EU, with uneven voltage coverage [3]. None of these documents treats the map as a distributive instrument.</w:t>
      </w:r>
    </w:p>
    <w:p>
      <w:pPr>
        <w:keepNext/>
        <w:spacing w:after="30" w:line="240"/>
        <w:jc w:val="left"/>
      </w:pPr>
      <w:r>
        <w:rPr>
          <w:rFonts w:ascii="Times New Roman" w:cs="Times New Roman" w:eastAsia="Times New Roman" w:hAnsi="Times New Roman"/>
          <w:b/>
          <w:bCs/>
          <w:i/>
          <w:iCs/>
          <w:sz w:val="19"/>
          <w:szCs w:val="19"/>
        </w:rPr>
        <w:t xml:space="preserve">2.2 Charging-access equity</w:t>
      </w:r>
    </w:p>
    <w:p>
      <w:pPr>
        <w:spacing w:after="60" w:line="240"/>
        <w:jc w:val="both"/>
      </w:pPr>
      <w:r>
        <w:rPr>
          <w:rFonts w:ascii="Times New Roman" w:cs="Times New Roman" w:eastAsia="Times New Roman" w:hAnsi="Times New Roman"/>
          <w:sz w:val="19"/>
          <w:szCs w:val="19"/>
        </w:rPr>
        <w:t xml:space="preserve">A separate literature documents that public charger access is unequally distributed across income and ethnicity [5] and clusters with commercial land use [9]. These studies treat the grid as exogenous. Work on EV hosting capacity [10,11] treats demand as exogenous. The two literatures meet only in optimisation models that co-locate chargers with grid capacity [12], which assume a single planner holding both datasets — precisely the situation in a vertically integrated utility.</w:t>
      </w:r>
    </w:p>
    <w:p>
      <w:pPr>
        <w:keepNext/>
        <w:spacing w:after="30" w:line="240"/>
        <w:jc w:val="left"/>
      </w:pPr>
      <w:r>
        <w:rPr>
          <w:rFonts w:ascii="Times New Roman" w:cs="Times New Roman" w:eastAsia="Times New Roman" w:hAnsi="Times New Roman"/>
          <w:b/>
          <w:bCs/>
          <w:i/>
          <w:iCs/>
          <w:sz w:val="19"/>
          <w:szCs w:val="19"/>
        </w:rPr>
        <w:t xml:space="preserve">2.3 Indonesia</w:t>
      </w:r>
    </w:p>
    <w:p>
      <w:pPr>
        <w:spacing w:after="60" w:line="240"/>
        <w:jc w:val="both"/>
      </w:pPr>
      <w:r>
        <w:rPr>
          <w:rFonts w:ascii="Times New Roman" w:cs="Times New Roman" w:eastAsia="Times New Roman" w:hAnsi="Times New Roman"/>
          <w:sz w:val="19"/>
          <w:szCs w:val="19"/>
        </w:rPr>
        <w:t xml:space="preserve">Presidential Regulation 55/2019 launched Indonesia’s battery-EV programme; ministerial rules set a 50 kW threshold for public fast charging and tariff structures for SPKLU [7]. PLN reports 3 % electricity sales growth and 5.9 % connected-capacity growth in West Java in 2025 [13]. EV penetration remains below 1 % of the vehicle stock, so the charging network is being built ahead of demand — the regime in which the published layer matters most.</w:t>
      </w:r>
    </w:p>
    <w:p>
      <w:pPr>
        <w:keepNext/>
        <w:spacing w:after="40" w:line="240"/>
        <w:jc w:val="left"/>
      </w:pPr>
      <w:r>
        <w:rPr>
          <w:rFonts w:ascii="Times New Roman" w:cs="Times New Roman" w:eastAsia="Times New Roman" w:hAnsi="Times New Roman"/>
          <w:b/>
          <w:bCs/>
          <w:sz w:val="20"/>
          <w:szCs w:val="20"/>
        </w:rPr>
        <w:t xml:space="preserve">3. CASE AND DATA</w:t>
      </w:r>
    </w:p>
    <w:p>
      <w:pPr>
        <w:spacing w:after="60" w:line="240"/>
        <w:jc w:val="both"/>
      </w:pPr>
      <w:r>
        <w:rPr>
          <w:rFonts w:ascii="Times New Roman" w:cs="Times New Roman" w:eastAsia="Times New Roman" w:hAnsi="Times New Roman"/>
          <w:sz w:val="19"/>
          <w:szCs w:val="19"/>
        </w:rPr>
        <w:t xml:space="preserve">Three datasets were assembled (Table 1). The transformer register is a field-survey database: two spot readings (day and night) of phase currents per distribution transformer, with rated kVA, feeder, primary substation (GI) and coordinates from two sources (survey and asset register). The charging log contains every session at PLN’s public chargers in March 2026 with energy, duration and revenue. The EV customer register lists households that applied for the home-charging tariff, geocoded at the service point; it is used as a latent-demand proxy that is independent of where public chargers were built.</w:t>
      </w:r>
    </w:p>
    <w:tbl>
      <w:tblPr>
        <w:tblW w:type="dxa" w:w="4639"/>
        <w:tblBorders>
          <w:top w:val="single" w:color="auto" w:sz="4"/>
          <w:left w:val="single" w:color="auto" w:sz="4"/>
          <w:bottom w:val="single" w:color="auto" w:sz="4"/>
          <w:right w:val="single" w:color="auto" w:sz="4"/>
          <w:insideH w:val="single" w:color="auto" w:sz="4"/>
          <w:insideV w:val="single" w:color="auto" w:sz="4"/>
        </w:tblBorders>
      </w:tblPr>
      <w:tblGrid>
        <w:gridCol w:w="1450"/>
        <w:gridCol w:w="1050"/>
        <w:gridCol w:w="640"/>
        <w:gridCol w:w="1499"/>
      </w:tblGrid>
      <w:tr>
        <w:tc>
          <w:tcPr>
            <w:tcW w:type="dxa" w:w="1450"/>
            <w:shd w:fill="E8E8E8" w:color="auto" w:val="clear"/>
            <w:tcMar>
              <w:top w:type="dxa" w:w="20"/>
              <w:left w:type="dxa" w:w="60"/>
              <w:bottom w:type="dxa" w:w="20"/>
              <w:right w:type="dxa" w:w="60"/>
            </w:tcMar>
          </w:tcPr>
          <w:p>
            <w:pPr>
              <w:jc w:val="left"/>
            </w:pPr>
            <w:r>
              <w:rPr>
                <w:rFonts w:ascii="Times New Roman" w:cs="Times New Roman" w:eastAsia="Times New Roman" w:hAnsi="Times New Roman"/>
                <w:b/>
                <w:bCs/>
                <w:sz w:val="14"/>
                <w:szCs w:val="14"/>
              </w:rPr>
              <w:t xml:space="preserve">Dataset</w:t>
            </w:r>
          </w:p>
        </w:tc>
        <w:tc>
          <w:tcPr>
            <w:tcW w:type="dxa" w:w="1050"/>
            <w:shd w:fill="E8E8E8" w:color="auto" w:val="clear"/>
            <w:tcMar>
              <w:top w:type="dxa" w:w="20"/>
              <w:left w:type="dxa" w:w="60"/>
              <w:bottom w:type="dxa" w:w="20"/>
              <w:right w:type="dxa" w:w="60"/>
            </w:tcMar>
          </w:tcPr>
          <w:p>
            <w:pPr>
              <w:jc w:val="right"/>
            </w:pPr>
            <w:r>
              <w:rPr>
                <w:rFonts w:ascii="Times New Roman" w:cs="Times New Roman" w:eastAsia="Times New Roman" w:hAnsi="Times New Roman"/>
                <w:b/>
                <w:bCs/>
                <w:sz w:val="14"/>
                <w:szCs w:val="14"/>
              </w:rPr>
              <w:t xml:space="preserve">Records</w:t>
            </w:r>
          </w:p>
        </w:tc>
        <w:tc>
          <w:tcPr>
            <w:tcW w:type="dxa" w:w="640"/>
            <w:shd w:fill="E8E8E8" w:color="auto" w:val="clear"/>
            <w:tcMar>
              <w:top w:type="dxa" w:w="20"/>
              <w:left w:type="dxa" w:w="60"/>
              <w:bottom w:type="dxa" w:w="20"/>
              <w:right w:type="dxa" w:w="60"/>
            </w:tcMar>
          </w:tcPr>
          <w:p>
            <w:pPr>
              <w:jc w:val="right"/>
            </w:pPr>
            <w:r>
              <w:rPr>
                <w:rFonts w:ascii="Times New Roman" w:cs="Times New Roman" w:eastAsia="Times New Roman" w:hAnsi="Times New Roman"/>
                <w:b/>
                <w:bCs/>
                <w:sz w:val="14"/>
                <w:szCs w:val="14"/>
              </w:rPr>
              <w:t xml:space="preserve">Period</w:t>
            </w:r>
          </w:p>
        </w:tc>
        <w:tc>
          <w:tcPr>
            <w:tcW w:type="dxa" w:w="1499"/>
            <w:shd w:fill="E8E8E8" w:color="auto" w:val="clear"/>
            <w:tcMar>
              <w:top w:type="dxa" w:w="20"/>
              <w:left w:type="dxa" w:w="60"/>
              <w:bottom w:type="dxa" w:w="20"/>
              <w:right w:type="dxa" w:w="60"/>
            </w:tcMar>
          </w:tcPr>
          <w:p>
            <w:pPr>
              <w:jc w:val="right"/>
            </w:pPr>
            <w:r>
              <w:rPr>
                <w:rFonts w:ascii="Times New Roman" w:cs="Times New Roman" w:eastAsia="Times New Roman" w:hAnsi="Times New Roman"/>
                <w:b/>
                <w:bCs/>
                <w:sz w:val="14"/>
                <w:szCs w:val="14"/>
              </w:rPr>
              <w:t xml:space="preserve">Key fields</w:t>
            </w:r>
          </w:p>
        </w:tc>
      </w:tr>
      <w:tr>
        <w:tc>
          <w:tcPr>
            <w:tcW w:type="dxa" w:w="1450"/>
            <w:tcMar>
              <w:top w:type="dxa" w:w="20"/>
              <w:left w:type="dxa" w:w="60"/>
              <w:bottom w:type="dxa" w:w="20"/>
              <w:right w:type="dxa" w:w="60"/>
            </w:tcMar>
          </w:tcPr>
          <w:p>
            <w:pPr>
              <w:jc w:val="left"/>
            </w:pPr>
            <w:r>
              <w:rPr>
                <w:rFonts w:ascii="Times New Roman" w:cs="Times New Roman" w:eastAsia="Times New Roman" w:hAnsi="Times New Roman"/>
                <w:b w:val="false"/>
                <w:bCs w:val="false"/>
                <w:sz w:val="14"/>
                <w:szCs w:val="14"/>
              </w:rPr>
              <w:t xml:space="preserve">Distribution-transformer load register</w:t>
            </w:r>
          </w:p>
        </w:tc>
        <w:tc>
          <w:tcPr>
            <w:tcW w:type="dxa" w:w="105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53,797 (41,129 usable)</w:t>
            </w:r>
          </w:p>
        </w:tc>
        <w:tc>
          <w:tcPr>
            <w:tcW w:type="dxa" w:w="64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2020–2024</w:t>
            </w:r>
          </w:p>
        </w:tc>
        <w:tc>
          <w:tcPr>
            <w:tcW w:type="dxa" w:w="1499"/>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kVA, day/night loading, feeder, GI, MVA and loading of GI, coordinates</w:t>
            </w:r>
          </w:p>
        </w:tc>
      </w:tr>
      <w:tr>
        <w:tc>
          <w:tcPr>
            <w:tcW w:type="dxa" w:w="1450"/>
            <w:tcMar>
              <w:top w:type="dxa" w:w="20"/>
              <w:left w:type="dxa" w:w="60"/>
              <w:bottom w:type="dxa" w:w="20"/>
              <w:right w:type="dxa" w:w="60"/>
            </w:tcMar>
          </w:tcPr>
          <w:p>
            <w:pPr>
              <w:jc w:val="left"/>
            </w:pPr>
            <w:r>
              <w:rPr>
                <w:rFonts w:ascii="Times New Roman" w:cs="Times New Roman" w:eastAsia="Times New Roman" w:hAnsi="Times New Roman"/>
                <w:b w:val="false"/>
                <w:bCs w:val="false"/>
                <w:sz w:val="14"/>
                <w:szCs w:val="14"/>
              </w:rPr>
              <w:t xml:space="preserve">Public charging sessions</w:t>
            </w:r>
          </w:p>
        </w:tc>
        <w:tc>
          <w:tcPr>
            <w:tcW w:type="dxa" w:w="105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101,020 sessions / 636 chargers / 331 sites</w:t>
            </w:r>
          </w:p>
        </w:tc>
        <w:tc>
          <w:tcPr>
            <w:tcW w:type="dxa" w:w="64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Mar 2026</w:t>
            </w:r>
          </w:p>
        </w:tc>
        <w:tc>
          <w:tcPr>
            <w:tcW w:type="dxa" w:w="1499"/>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kWh, duration, revenue, site type</w:t>
            </w:r>
          </w:p>
        </w:tc>
      </w:tr>
      <w:tr>
        <w:tc>
          <w:tcPr>
            <w:tcW w:type="dxa" w:w="1450"/>
            <w:tcMar>
              <w:top w:type="dxa" w:w="20"/>
              <w:left w:type="dxa" w:w="60"/>
              <w:bottom w:type="dxa" w:w="20"/>
              <w:right w:type="dxa" w:w="60"/>
            </w:tcMar>
          </w:tcPr>
          <w:p>
            <w:pPr>
              <w:jc w:val="left"/>
            </w:pPr>
            <w:r>
              <w:rPr>
                <w:rFonts w:ascii="Times New Roman" w:cs="Times New Roman" w:eastAsia="Times New Roman" w:hAnsi="Times New Roman"/>
                <w:b w:val="false"/>
                <w:bCs w:val="false"/>
                <w:sz w:val="14"/>
                <w:szCs w:val="14"/>
              </w:rPr>
              <w:t xml:space="preserve">Registered EV customers</w:t>
            </w:r>
          </w:p>
        </w:tc>
        <w:tc>
          <w:tcPr>
            <w:tcW w:type="dxa" w:w="105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3,687 geocoded</w:t>
            </w:r>
          </w:p>
        </w:tc>
        <w:tc>
          <w:tcPr>
            <w:tcW w:type="dxa" w:w="64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to Jun 2026</w:t>
            </w:r>
          </w:p>
        </w:tc>
        <w:tc>
          <w:tcPr>
            <w:tcW w:type="dxa" w:w="1499"/>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coordinates, connected power</w:t>
            </w:r>
          </w:p>
        </w:tc>
      </w:tr>
      <w:tr>
        <w:tc>
          <w:tcPr>
            <w:tcW w:type="dxa" w:w="1450"/>
            <w:tcMar>
              <w:top w:type="dxa" w:w="20"/>
              <w:left w:type="dxa" w:w="60"/>
              <w:bottom w:type="dxa" w:w="20"/>
              <w:right w:type="dxa" w:w="60"/>
            </w:tcMar>
          </w:tcPr>
          <w:p>
            <w:pPr>
              <w:jc w:val="left"/>
            </w:pPr>
            <w:r>
              <w:rPr>
                <w:rFonts w:ascii="Times New Roman" w:cs="Times New Roman" w:eastAsia="Times New Roman" w:hAnsi="Times New Roman"/>
                <w:b w:val="false"/>
                <w:bCs w:val="false"/>
                <w:sz w:val="14"/>
                <w:szCs w:val="14"/>
              </w:rPr>
              <w:t xml:space="preserve">Feeder peak-load register (full paper)</w:t>
            </w:r>
          </w:p>
        </w:tc>
        <w:tc>
          <w:tcPr>
            <w:tcW w:type="dxa" w:w="105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2,574 feeders</w:t>
            </w:r>
          </w:p>
        </w:tc>
        <w:tc>
          <w:tcPr>
            <w:tcW w:type="dxa" w:w="64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Apr 2022</w:t>
            </w:r>
          </w:p>
        </w:tc>
        <w:tc>
          <w:tcPr>
            <w:tcW w:type="dxa" w:w="1499"/>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GI, feeder, kHA, day/night loading</w:t>
            </w:r>
          </w:p>
        </w:tc>
      </w:tr>
    </w:tbl>
    <w:p>
      <w:pPr>
        <w:spacing w:after="100" w:line="240"/>
        <w:jc w:val="left"/>
      </w:pPr>
      <w:r>
        <w:rPr>
          <w:rFonts w:ascii="Times New Roman" w:cs="Times New Roman" w:eastAsia="Times New Roman" w:hAnsi="Times New Roman"/>
          <w:sz w:val="16"/>
          <w:szCs w:val="16"/>
        </w:rPr>
        <w:t xml:space="preserve">Table 1 – Datasets used. All are internal PLN UID Jawa Barat data; the aggregated outputs are published at jabar-ev.vercel.app.</w:t>
      </w:r>
    </w:p>
    <w:p>
      <w:pPr>
        <w:keepNext/>
        <w:spacing w:after="40" w:line="240"/>
        <w:jc w:val="left"/>
      </w:pPr>
      <w:r>
        <w:rPr>
          <w:rFonts w:ascii="Times New Roman" w:cs="Times New Roman" w:eastAsia="Times New Roman" w:hAnsi="Times New Roman"/>
          <w:b/>
          <w:bCs/>
          <w:sz w:val="20"/>
          <w:szCs w:val="20"/>
        </w:rPr>
        <w:t xml:space="preserve">4. METHOD</w:t>
      </w:r>
    </w:p>
    <w:p>
      <w:pPr>
        <w:keepNext/>
        <w:spacing w:after="30" w:line="240"/>
        <w:jc w:val="left"/>
      </w:pPr>
      <w:r>
        <w:rPr>
          <w:rFonts w:ascii="Times New Roman" w:cs="Times New Roman" w:eastAsia="Times New Roman" w:hAnsi="Times New Roman"/>
          <w:b/>
          <w:bCs/>
          <w:i/>
          <w:iCs/>
          <w:sz w:val="19"/>
          <w:szCs w:val="19"/>
        </w:rPr>
        <w:t xml:space="preserve">4.1 Two-level headroom</w:t>
      </w:r>
    </w:p>
    <w:p>
      <w:pPr>
        <w:spacing w:after="60" w:line="240"/>
        <w:jc w:val="both"/>
      </w:pPr>
      <w:r>
        <w:rPr>
          <w:rFonts w:ascii="Times New Roman" w:cs="Times New Roman" w:eastAsia="Times New Roman" w:hAnsi="Times New Roman"/>
          <w:sz w:val="19"/>
          <w:szCs w:val="19"/>
        </w:rPr>
        <w:t xml:space="preserve">For each transformer i with rated capacity S</w:t>
      </w:r>
      <w:r>
        <w:rPr>
          <w:rFonts w:ascii="Times New Roman" w:cs="Times New Roman" w:eastAsia="Times New Roman" w:hAnsi="Times New Roman"/>
          <w:i/>
          <w:iCs/>
          <w:sz w:val="14"/>
          <w:szCs w:val="14"/>
        </w:rPr>
        <w:t xml:space="preserve">i</w:t>
      </w:r>
      <w:r>
        <w:rPr>
          <w:rFonts w:ascii="Times New Roman" w:cs="Times New Roman" w:eastAsia="Times New Roman" w:hAnsi="Times New Roman"/>
          <w:sz w:val="19"/>
          <w:szCs w:val="19"/>
        </w:rPr>
        <w:t xml:space="preserve"> and measured loading λ</w:t>
      </w:r>
      <w:r>
        <w:rPr>
          <w:rFonts w:ascii="Times New Roman" w:cs="Times New Roman" w:eastAsia="Times New Roman" w:hAnsi="Times New Roman"/>
          <w:i/>
          <w:iCs/>
          <w:sz w:val="14"/>
          <w:szCs w:val="14"/>
        </w:rPr>
        <w:t xml:space="preserve">i</w:t>
      </w:r>
      <w:r>
        <w:rPr>
          <w:rFonts w:ascii="Times New Roman" w:cs="Times New Roman" w:eastAsia="Times New Roman" w:hAnsi="Times New Roman"/>
          <w:sz w:val="19"/>
          <w:szCs w:val="19"/>
        </w:rPr>
        <w:t xml:space="preserve"> (share of nominal current, maximum of day and night), headroom at the 80 % planning limit is H</w:t>
      </w:r>
      <w:r>
        <w:rPr>
          <w:rFonts w:ascii="Times New Roman" w:cs="Times New Roman" w:eastAsia="Times New Roman" w:hAnsi="Times New Roman"/>
          <w:i/>
          <w:iCs/>
          <w:sz w:val="14"/>
          <w:szCs w:val="14"/>
        </w:rPr>
        <w:t xml:space="preserve">i</w:t>
      </w:r>
      <w:r>
        <w:rPr>
          <w:rFonts w:ascii="Times New Roman" w:cs="Times New Roman" w:eastAsia="Times New Roman" w:hAnsi="Times New Roman"/>
          <w:sz w:val="19"/>
          <w:szCs w:val="19"/>
        </w:rPr>
        <w:t xml:space="preserve"> = max(0, S</w:t>
      </w:r>
      <w:r>
        <w:rPr>
          <w:rFonts w:ascii="Times New Roman" w:cs="Times New Roman" w:eastAsia="Times New Roman" w:hAnsi="Times New Roman"/>
          <w:i/>
          <w:iCs/>
          <w:sz w:val="14"/>
          <w:szCs w:val="14"/>
        </w:rPr>
        <w:t xml:space="preserve">i</w:t>
      </w:r>
      <w:r>
        <w:rPr>
          <w:rFonts w:ascii="Times New Roman" w:cs="Times New Roman" w:eastAsia="Times New Roman" w:hAnsi="Times New Roman"/>
          <w:sz w:val="19"/>
          <w:szCs w:val="19"/>
        </w:rPr>
        <w:t xml:space="preserve">·(0.8 − λ</w:t>
      </w:r>
      <w:r>
        <w:rPr>
          <w:rFonts w:ascii="Times New Roman" w:cs="Times New Roman" w:eastAsia="Times New Roman" w:hAnsi="Times New Roman"/>
          <w:i/>
          <w:iCs/>
          <w:sz w:val="14"/>
          <w:szCs w:val="14"/>
        </w:rPr>
        <w:t xml:space="preserve">i</w:t>
      </w:r>
      <w:r>
        <w:rPr>
          <w:rFonts w:ascii="Times New Roman" w:cs="Times New Roman" w:eastAsia="Times New Roman" w:hAnsi="Times New Roman"/>
          <w:sz w:val="19"/>
          <w:szCs w:val="19"/>
        </w:rPr>
        <w:t xml:space="preserve">)). Records failing basic plausibility (invalid coordinates, S outside 5–3,000 kVA, λ outside 0–200 %) were dropped, leaving 41,129. Primary-substation headroom is computed identically from GI transformer MVA and loading (182 GI transformers, 9,790 MVA). Each 5 km cell receives the sum of transformer headroom and the mean headroom of the GI(s) supplying it.</w:t>
      </w:r>
    </w:p>
    <w:p>
      <w:pPr>
        <w:keepNext/>
        <w:spacing w:after="30" w:line="240"/>
        <w:jc w:val="left"/>
      </w:pPr>
      <w:r>
        <w:rPr>
          <w:rFonts w:ascii="Times New Roman" w:cs="Times New Roman" w:eastAsia="Times New Roman" w:hAnsi="Times New Roman"/>
          <w:b/>
          <w:bCs/>
          <w:i/>
          <w:iCs/>
          <w:sz w:val="19"/>
          <w:szCs w:val="19"/>
        </w:rPr>
        <w:t xml:space="preserve">4.2 Growth correction</w:t>
      </w:r>
    </w:p>
    <w:p>
      <w:pPr>
        <w:spacing w:after="60" w:line="240"/>
        <w:jc w:val="both"/>
      </w:pPr>
      <w:r>
        <w:rPr>
          <w:rFonts w:ascii="Times New Roman" w:cs="Times New Roman" w:eastAsia="Times New Roman" w:hAnsi="Times New Roman"/>
          <w:sz w:val="19"/>
          <w:szCs w:val="19"/>
        </w:rPr>
        <w:t xml:space="preserve">Surveys are dated; the median reading is 2.3 years old and the oldest 6.2 years. Loading was compounded to March 2026 as λ(2026) = λ(t)·(1+g)</w:t>
      </w:r>
      <w:r>
        <w:rPr>
          <w:rFonts w:ascii="Times New Roman" w:cs="Times New Roman" w:eastAsia="Times New Roman" w:hAnsi="Times New Roman"/>
          <w:sz w:val="14"/>
          <w:szCs w:val="14"/>
          <w:vertAlign w:val="superscript"/>
        </w:rPr>
        <w:t xml:space="preserve">2026.2−t</w:t>
      </w:r>
      <w:r>
        <w:rPr>
          <w:rFonts w:ascii="Times New Roman" w:cs="Times New Roman" w:eastAsia="Times New Roman" w:hAnsi="Times New Roman"/>
          <w:sz w:val="19"/>
          <w:szCs w:val="19"/>
        </w:rPr>
        <w:t xml:space="preserve">. The base case uses g = 3.0 %/yr, the DSO’s reported 2025 sales growth [13]; sensitivities use 5.9 %/yr (connected-capacity growth) and 9.7 %/yr (the median cross-sectional slope of loading on survey date within UP3 units, which is an upper bound because 2020 readings were COVID-depressed).</w:t>
      </w:r>
    </w:p>
    <w:p>
      <w:pPr>
        <w:keepNext/>
        <w:spacing w:after="30" w:line="240"/>
        <w:jc w:val="left"/>
      </w:pPr>
      <w:r>
        <w:rPr>
          <w:rFonts w:ascii="Times New Roman" w:cs="Times New Roman" w:eastAsia="Times New Roman" w:hAnsi="Times New Roman"/>
          <w:b/>
          <w:bCs/>
          <w:i/>
          <w:iCs/>
          <w:sz w:val="19"/>
          <w:szCs w:val="19"/>
        </w:rPr>
        <w:t xml:space="preserve">4.3 Grid, classification and siting rules</w:t>
      </w:r>
    </w:p>
    <w:p>
      <w:pPr>
        <w:spacing w:after="60" w:line="240"/>
        <w:jc w:val="both"/>
      </w:pPr>
      <w:r>
        <w:rPr>
          <w:rFonts w:ascii="Times New Roman" w:cs="Times New Roman" w:eastAsia="Times New Roman" w:hAnsi="Times New Roman"/>
          <w:sz w:val="19"/>
          <w:szCs w:val="19"/>
        </w:rPr>
        <w:t xml:space="preserve">All layers were aggregated to a 0.045° (≈5 km) grid of 1,292 cells; 235 contain registered EV owners and 174 contain a public charger. Cells with EV owners were classified by median demand (EV owners) × median headroom. Three siting rules were then applied to the 129 unserved cells with EV owners, each selecting 50 cells: headroom-only (rank by H), demand-only (rank by EV owners), and demand-within-headroom (rank by EV owners subject to H ≥ 240 kVA, i.e. one 4×60 kW site). Outcomes: owners newly reached, sites in below-median-demand cells (stranded capital), sites below the feasibility threshold, regencies covered, and the between-regency Gini of the share of EV owners living in a cell with a charger.</w:t>
      </w:r>
    </w:p>
    <w:p>
      <w:pPr>
        <w:keepNext/>
        <w:spacing w:after="40" w:line="240"/>
        <w:jc w:val="left"/>
      </w:pPr>
      <w:r>
        <w:rPr>
          <w:rFonts w:ascii="Times New Roman" w:cs="Times New Roman" w:eastAsia="Times New Roman" w:hAnsi="Times New Roman"/>
          <w:b/>
          <w:bCs/>
          <w:sz w:val="20"/>
          <w:szCs w:val="20"/>
        </w:rPr>
        <w:t xml:space="preserve">5. RESULTS</w:t>
      </w:r>
    </w:p>
    <w:p>
      <w:pPr>
        <w:keepNext/>
        <w:spacing w:after="30" w:line="240"/>
        <w:jc w:val="left"/>
      </w:pPr>
      <w:r>
        <w:rPr>
          <w:rFonts w:ascii="Times New Roman" w:cs="Times New Roman" w:eastAsia="Times New Roman" w:hAnsi="Times New Roman"/>
          <w:b/>
          <w:bCs/>
          <w:i/>
          <w:iCs/>
          <w:sz w:val="19"/>
          <w:szCs w:val="19"/>
        </w:rPr>
        <w:t xml:space="preserve">5.1 The roll-out follows grid density, not spare capacity</w:t>
      </w:r>
    </w:p>
    <w:p>
      <w:pPr>
        <w:spacing w:after="60" w:line="240"/>
        <w:jc w:val="both"/>
      </w:pPr>
      <w:r>
        <w:rPr>
          <w:rFonts w:ascii="Times New Roman" w:cs="Times New Roman" w:eastAsia="Times New Roman" w:hAnsi="Times New Roman"/>
          <w:sz w:val="19"/>
          <w:szCs w:val="19"/>
        </w:rPr>
        <w:t xml:space="preserve">Across served cells, charging energy correlates with absolute headroom (Spearman ρ = 0.42, p &lt; 10</w:t>
      </w:r>
      <w:r>
        <w:rPr>
          <w:rFonts w:ascii="Times New Roman" w:cs="Times New Roman" w:eastAsia="Times New Roman" w:hAnsi="Times New Roman"/>
          <w:sz w:val="14"/>
          <w:szCs w:val="14"/>
          <w:vertAlign w:val="superscript"/>
        </w:rPr>
        <w:t xml:space="preserve">−8</w:t>
      </w:r>
      <w:r>
        <w:rPr>
          <w:rFonts w:ascii="Times New Roman" w:cs="Times New Roman" w:eastAsia="Times New Roman" w:hAnsi="Times New Roman"/>
          <w:sz w:val="19"/>
          <w:szCs w:val="19"/>
        </w:rPr>
        <w:t xml:space="preserve">) but not with headroom as a share of installed capacity (ρ = −0.06, p = 0.43). Absolute headroom scales with the number of transformers, i.e. with urbanisation; relative headroom measures spare capacity. Chargers were therefore placed where the grid is dense, blind to whether it is loaded. Fig. 1 shows the resulting pattern: 42 % of the province’s growth-adjusted headroom lies in cells with no public charger, and a quarter of registered EV owners live in those cells.</w:t>
      </w:r>
    </w:p>
    <w:p>
      <w:pPr>
        <w:keepNext/>
        <w:spacing w:after="20" w:before="60"/>
        <w:jc w:val="center"/>
      </w:pPr>
      <w:r>
        <w:drawing>
          <wp:inline distT="0" distB="0" distL="0" distR="0">
            <wp:extent cx="290512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05125" cy="1676400"/>
                    </a:xfrm>
                    <a:prstGeom prst="rect">
                      <a:avLst/>
                    </a:prstGeom>
                  </pic:spPr>
                </pic:pic>
              </a:graphicData>
            </a:graphic>
          </wp:inline>
        </w:drawing>
      </w:r>
    </w:p>
    <w:p>
      <w:pPr>
        <w:spacing w:after="100" w:line="240"/>
        <w:jc w:val="left"/>
      </w:pPr>
      <w:r>
        <w:rPr>
          <w:rFonts w:ascii="Times New Roman" w:cs="Times New Roman" w:eastAsia="Times New Roman" w:hAnsi="Times New Roman"/>
          <w:sz w:val="16"/>
          <w:szCs w:val="16"/>
        </w:rPr>
        <w:t xml:space="preserve">Fig. 1 – 2026-adjusted transformer headroom per 5 km cell (darker = less spare capacity), 331 public chargers sized by March-2026 energy, and unserved high-demand/low-headroom cells (red hatching).</w:t>
      </w:r>
    </w:p>
    <w:p>
      <w:pPr>
        <w:keepNext/>
        <w:spacing w:after="30" w:line="240"/>
        <w:jc w:val="left"/>
      </w:pPr>
      <w:r>
        <w:rPr>
          <w:rFonts w:ascii="Times New Roman" w:cs="Times New Roman" w:eastAsia="Times New Roman" w:hAnsi="Times New Roman"/>
          <w:b/>
          <w:bCs/>
          <w:i/>
          <w:iCs/>
          <w:sz w:val="19"/>
          <w:szCs w:val="19"/>
        </w:rPr>
        <w:t xml:space="preserve">5.2 The equity gap is locational</w:t>
      </w:r>
    </w:p>
    <w:p>
      <w:pPr>
        <w:spacing w:after="60" w:line="240"/>
        <w:jc w:val="both"/>
      </w:pPr>
      <w:r>
        <w:rPr>
          <w:rFonts w:ascii="Times New Roman" w:cs="Times New Roman" w:eastAsia="Times New Roman" w:hAnsi="Times New Roman"/>
          <w:sz w:val="19"/>
          <w:szCs w:val="19"/>
        </w:rPr>
        <w:t xml:space="preserve">Fig. 2 classifies the 235 cells with EV owners. The high-demand/high-headroom quadrant holds 84.9 % of owners and 79.9 % of chargers — the roll-out is broadly rational. The gap is the high-demand/low-headroom quadrant: 12.8 % of owners, 7.2 % of chargers, and 37 cells with 270 owners and no charger at all. These are the cells a headroom-only map would rank last and a demand-only map would rank first without warning the developer of the connection cost.</w:t>
      </w:r>
    </w:p>
    <w:p>
      <w:pPr>
        <w:keepNext/>
        <w:spacing w:after="20" w:before="60"/>
        <w:jc w:val="center"/>
      </w:pPr>
      <w:r>
        <w:drawing>
          <wp:inline distT="0" distB="0" distL="0" distR="0">
            <wp:extent cx="23812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038350"/>
                    </a:xfrm>
                    <a:prstGeom prst="rect">
                      <a:avLst/>
                    </a:prstGeom>
                  </pic:spPr>
                </pic:pic>
              </a:graphicData>
            </a:graphic>
          </wp:inline>
        </w:drawing>
      </w:r>
    </w:p>
    <w:p>
      <w:pPr>
        <w:spacing w:after="100" w:line="240"/>
        <w:jc w:val="left"/>
      </w:pPr>
      <w:r>
        <w:rPr>
          <w:rFonts w:ascii="Times New Roman" w:cs="Times New Roman" w:eastAsia="Times New Roman" w:hAnsi="Times New Roman"/>
          <w:sz w:val="16"/>
          <w:szCs w:val="16"/>
        </w:rPr>
        <w:t xml:space="preserve">Fig. 2 – Demand × headroom quadrants of the 235 cells with registered EV owners (medians dashed; blue = has charger, sized by energy).</w:t>
      </w:r>
    </w:p>
    <w:p>
      <w:pPr>
        <w:keepNext/>
        <w:spacing w:after="30" w:line="240"/>
        <w:jc w:val="left"/>
      </w:pPr>
      <w:r>
        <w:rPr>
          <w:rFonts w:ascii="Times New Roman" w:cs="Times New Roman" w:eastAsia="Times New Roman" w:hAnsi="Times New Roman"/>
          <w:b/>
          <w:bCs/>
          <w:i/>
          <w:iCs/>
          <w:sz w:val="19"/>
          <w:szCs w:val="19"/>
        </w:rPr>
        <w:t xml:space="preserve">5.3 The published layer changes the portfolio</w:t>
      </w:r>
    </w:p>
    <w:p>
      <w:pPr>
        <w:spacing w:after="60" w:line="240"/>
        <w:jc w:val="both"/>
      </w:pPr>
      <w:r>
        <w:rPr>
          <w:rFonts w:ascii="Times New Roman" w:cs="Times New Roman" w:eastAsia="Times New Roman" w:hAnsi="Times New Roman"/>
          <w:sz w:val="19"/>
          <w:szCs w:val="19"/>
        </w:rPr>
        <w:t xml:space="preserve">Table 2 and Fig. 3 compare the three siting rules. The headroom-only rule reaches 694 of the 901 owners in unserved cells and places 15 of 50 sites in cells with below-median demand. The demand-only rule reaches 807 owners but places 2 sites below the feasibility threshold and is the most geographically concentrated (15 regencies). The demand-within-headroom rule strands no site, reaches 789 owners (+12 % on headroom-only), spreads over 17 regencies and lowers the between-regency coverage Gini from 0.69 today to 0.60. The result is stable across growth scenarios (789, 789 and 788 owners reached at 3.0, 5.9 and 9.7 %/yr).</w:t>
      </w:r>
    </w:p>
    <w:tbl>
      <w:tblPr>
        <w:tblW w:type="dxa" w:w="4639"/>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560"/>
        <w:gridCol w:w="500"/>
        <w:gridCol w:w="500"/>
        <w:gridCol w:w="500"/>
        <w:gridCol w:w="519"/>
      </w:tblGrid>
      <w:tr>
        <w:tc>
          <w:tcPr>
            <w:tcW w:type="dxa" w:w="1500"/>
            <w:shd w:fill="E8E8E8" w:color="auto" w:val="clear"/>
            <w:tcMar>
              <w:top w:type="dxa" w:w="20"/>
              <w:left w:type="dxa" w:w="60"/>
              <w:bottom w:type="dxa" w:w="20"/>
              <w:right w:type="dxa" w:w="60"/>
            </w:tcMar>
          </w:tcPr>
          <w:p>
            <w:pPr>
              <w:jc w:val="left"/>
            </w:pPr>
            <w:r>
              <w:rPr>
                <w:rFonts w:ascii="Times New Roman" w:cs="Times New Roman" w:eastAsia="Times New Roman" w:hAnsi="Times New Roman"/>
                <w:b/>
                <w:bCs/>
                <w:sz w:val="14"/>
                <w:szCs w:val="14"/>
              </w:rPr>
              <w:t xml:space="preserve">Siting rule (50 sites)</w:t>
            </w:r>
          </w:p>
        </w:tc>
        <w:tc>
          <w:tcPr>
            <w:tcW w:type="dxa" w:w="560"/>
            <w:shd w:fill="E8E8E8" w:color="auto" w:val="clear"/>
            <w:tcMar>
              <w:top w:type="dxa" w:w="20"/>
              <w:left w:type="dxa" w:w="60"/>
              <w:bottom w:type="dxa" w:w="20"/>
              <w:right w:type="dxa" w:w="60"/>
            </w:tcMar>
          </w:tcPr>
          <w:p>
            <w:pPr>
              <w:jc w:val="right"/>
            </w:pPr>
            <w:r>
              <w:rPr>
                <w:rFonts w:ascii="Times New Roman" w:cs="Times New Roman" w:eastAsia="Times New Roman" w:hAnsi="Times New Roman"/>
                <w:b/>
                <w:bCs/>
                <w:sz w:val="14"/>
                <w:szCs w:val="14"/>
              </w:rPr>
              <w:t xml:space="preserve">Owners</w:t>
            </w:r>
          </w:p>
        </w:tc>
        <w:tc>
          <w:tcPr>
            <w:tcW w:type="dxa" w:w="560"/>
            <w:shd w:fill="E8E8E8" w:color="auto" w:val="clear"/>
            <w:tcMar>
              <w:top w:type="dxa" w:w="20"/>
              <w:left w:type="dxa" w:w="60"/>
              <w:bottom w:type="dxa" w:w="20"/>
              <w:right w:type="dxa" w:w="60"/>
            </w:tcMar>
          </w:tcPr>
          <w:p>
            <w:pPr>
              <w:jc w:val="right"/>
            </w:pPr>
            <w:r>
              <w:rPr>
                <w:rFonts w:ascii="Times New Roman" w:cs="Times New Roman" w:eastAsia="Times New Roman" w:hAnsi="Times New Roman"/>
                <w:b/>
                <w:bCs/>
                <w:sz w:val="14"/>
                <w:szCs w:val="14"/>
              </w:rPr>
              <w:t xml:space="preserve">Stranded</w:t>
            </w:r>
          </w:p>
        </w:tc>
        <w:tc>
          <w:tcPr>
            <w:tcW w:type="dxa" w:w="500"/>
            <w:shd w:fill="E8E8E8" w:color="auto" w:val="clear"/>
            <w:tcMar>
              <w:top w:type="dxa" w:w="20"/>
              <w:left w:type="dxa" w:w="60"/>
              <w:bottom w:type="dxa" w:w="20"/>
              <w:right w:type="dxa" w:w="60"/>
            </w:tcMar>
          </w:tcPr>
          <w:p>
            <w:pPr>
              <w:jc w:val="right"/>
            </w:pPr>
            <w:r>
              <w:rPr>
                <w:rFonts w:ascii="Times New Roman" w:cs="Times New Roman" w:eastAsia="Times New Roman" w:hAnsi="Times New Roman"/>
                <w:b/>
                <w:bCs/>
                <w:sz w:val="14"/>
                <w:szCs w:val="14"/>
              </w:rPr>
              <w:t xml:space="preserve">Infeas.</w:t>
            </w:r>
          </w:p>
        </w:tc>
        <w:tc>
          <w:tcPr>
            <w:tcW w:type="dxa" w:w="500"/>
            <w:shd w:fill="E8E8E8" w:color="auto" w:val="clear"/>
            <w:tcMar>
              <w:top w:type="dxa" w:w="20"/>
              <w:left w:type="dxa" w:w="60"/>
              <w:bottom w:type="dxa" w:w="20"/>
              <w:right w:type="dxa" w:w="60"/>
            </w:tcMar>
          </w:tcPr>
          <w:p>
            <w:pPr>
              <w:jc w:val="right"/>
            </w:pPr>
            <w:r>
              <w:rPr>
                <w:rFonts w:ascii="Times New Roman" w:cs="Times New Roman" w:eastAsia="Times New Roman" w:hAnsi="Times New Roman"/>
                <w:b/>
                <w:bCs/>
                <w:sz w:val="14"/>
                <w:szCs w:val="14"/>
              </w:rPr>
              <w:t xml:space="preserve">Regen.</w:t>
            </w:r>
          </w:p>
        </w:tc>
        <w:tc>
          <w:tcPr>
            <w:tcW w:type="dxa" w:w="500"/>
            <w:shd w:fill="E8E8E8" w:color="auto" w:val="clear"/>
            <w:tcMar>
              <w:top w:type="dxa" w:w="20"/>
              <w:left w:type="dxa" w:w="60"/>
              <w:bottom w:type="dxa" w:w="20"/>
              <w:right w:type="dxa" w:w="60"/>
            </w:tcMar>
          </w:tcPr>
          <w:p>
            <w:pPr>
              <w:jc w:val="right"/>
            </w:pPr>
            <w:r>
              <w:rPr>
                <w:rFonts w:ascii="Times New Roman" w:cs="Times New Roman" w:eastAsia="Times New Roman" w:hAnsi="Times New Roman"/>
                <w:b/>
                <w:bCs/>
                <w:sz w:val="14"/>
                <w:szCs w:val="14"/>
              </w:rPr>
              <w:t xml:space="preserve">Cover.</w:t>
            </w:r>
          </w:p>
        </w:tc>
        <w:tc>
          <w:tcPr>
            <w:tcW w:type="dxa" w:w="519"/>
            <w:shd w:fill="E8E8E8" w:color="auto" w:val="clear"/>
            <w:tcMar>
              <w:top w:type="dxa" w:w="20"/>
              <w:left w:type="dxa" w:w="60"/>
              <w:bottom w:type="dxa" w:w="20"/>
              <w:right w:type="dxa" w:w="60"/>
            </w:tcMar>
          </w:tcPr>
          <w:p>
            <w:pPr>
              <w:jc w:val="right"/>
            </w:pPr>
            <w:r>
              <w:rPr>
                <w:rFonts w:ascii="Times New Roman" w:cs="Times New Roman" w:eastAsia="Times New Roman" w:hAnsi="Times New Roman"/>
                <w:b/>
                <w:bCs/>
                <w:sz w:val="14"/>
                <w:szCs w:val="14"/>
              </w:rPr>
              <w:t xml:space="preserve">Gini</w:t>
            </w:r>
          </w:p>
        </w:tc>
      </w:tr>
      <w:tr>
        <w:tc>
          <w:tcPr>
            <w:tcW w:type="dxa" w:w="1500"/>
            <w:tcMar>
              <w:top w:type="dxa" w:w="20"/>
              <w:left w:type="dxa" w:w="60"/>
              <w:bottom w:type="dxa" w:w="20"/>
              <w:right w:type="dxa" w:w="60"/>
            </w:tcMar>
          </w:tcPr>
          <w:p>
            <w:pPr>
              <w:jc w:val="left"/>
            </w:pPr>
            <w:r>
              <w:rPr>
                <w:rFonts w:ascii="Times New Roman" w:cs="Times New Roman" w:eastAsia="Times New Roman" w:hAnsi="Times New Roman"/>
                <w:b w:val="false"/>
                <w:bCs w:val="false"/>
                <w:sz w:val="14"/>
                <w:szCs w:val="14"/>
              </w:rPr>
              <w:t xml:space="preserve">Headroom-only</w:t>
            </w:r>
          </w:p>
        </w:tc>
        <w:tc>
          <w:tcPr>
            <w:tcW w:type="dxa" w:w="56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694</w:t>
            </w:r>
          </w:p>
        </w:tc>
        <w:tc>
          <w:tcPr>
            <w:tcW w:type="dxa" w:w="56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15</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0</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16</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94.4%</w:t>
            </w:r>
          </w:p>
        </w:tc>
        <w:tc>
          <w:tcPr>
            <w:tcW w:type="dxa" w:w="519"/>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0.653</w:t>
            </w:r>
          </w:p>
        </w:tc>
      </w:tr>
      <w:tr>
        <w:tc>
          <w:tcPr>
            <w:tcW w:type="dxa" w:w="1500"/>
            <w:tcMar>
              <w:top w:type="dxa" w:w="20"/>
              <w:left w:type="dxa" w:w="60"/>
              <w:bottom w:type="dxa" w:w="20"/>
              <w:right w:type="dxa" w:w="60"/>
            </w:tcMar>
          </w:tcPr>
          <w:p>
            <w:pPr>
              <w:jc w:val="left"/>
            </w:pPr>
            <w:r>
              <w:rPr>
                <w:rFonts w:ascii="Times New Roman" w:cs="Times New Roman" w:eastAsia="Times New Roman" w:hAnsi="Times New Roman"/>
                <w:b w:val="false"/>
                <w:bCs w:val="false"/>
                <w:sz w:val="14"/>
                <w:szCs w:val="14"/>
              </w:rPr>
              <w:t xml:space="preserve">Demand-only</w:t>
            </w:r>
          </w:p>
        </w:tc>
        <w:tc>
          <w:tcPr>
            <w:tcW w:type="dxa" w:w="56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807</w:t>
            </w:r>
          </w:p>
        </w:tc>
        <w:tc>
          <w:tcPr>
            <w:tcW w:type="dxa" w:w="56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0</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2</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15</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97.4%</w:t>
            </w:r>
          </w:p>
        </w:tc>
        <w:tc>
          <w:tcPr>
            <w:tcW w:type="dxa" w:w="519"/>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0.611</w:t>
            </w:r>
          </w:p>
        </w:tc>
      </w:tr>
      <w:tr>
        <w:tc>
          <w:tcPr>
            <w:tcW w:type="dxa" w:w="1500"/>
            <w:tcMar>
              <w:top w:type="dxa" w:w="20"/>
              <w:left w:type="dxa" w:w="60"/>
              <w:bottom w:type="dxa" w:w="20"/>
              <w:right w:type="dxa" w:w="60"/>
            </w:tcMar>
          </w:tcPr>
          <w:p>
            <w:pPr>
              <w:jc w:val="left"/>
            </w:pPr>
            <w:r>
              <w:rPr>
                <w:rFonts w:ascii="Times New Roman" w:cs="Times New Roman" w:eastAsia="Times New Roman" w:hAnsi="Times New Roman"/>
                <w:b w:val="false"/>
                <w:bCs w:val="false"/>
                <w:sz w:val="14"/>
                <w:szCs w:val="14"/>
              </w:rPr>
              <w:t xml:space="preserve">Demand within headroom</w:t>
            </w:r>
          </w:p>
        </w:tc>
        <w:tc>
          <w:tcPr>
            <w:tcW w:type="dxa" w:w="56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789</w:t>
            </w:r>
          </w:p>
        </w:tc>
        <w:tc>
          <w:tcPr>
            <w:tcW w:type="dxa" w:w="56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0</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0</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17</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97%</w:t>
            </w:r>
          </w:p>
        </w:tc>
        <w:tc>
          <w:tcPr>
            <w:tcW w:type="dxa" w:w="519"/>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0.600</w:t>
            </w:r>
          </w:p>
        </w:tc>
      </w:tr>
      <w:tr>
        <w:tc>
          <w:tcPr>
            <w:tcW w:type="dxa" w:w="1500"/>
            <w:tcMar>
              <w:top w:type="dxa" w:w="20"/>
              <w:left w:type="dxa" w:w="60"/>
              <w:bottom w:type="dxa" w:w="20"/>
              <w:right w:type="dxa" w:w="60"/>
            </w:tcMar>
          </w:tcPr>
          <w:p>
            <w:pPr>
              <w:jc w:val="left"/>
            </w:pPr>
            <w:r>
              <w:rPr>
                <w:rFonts w:ascii="Times New Roman" w:cs="Times New Roman" w:eastAsia="Times New Roman" w:hAnsi="Times New Roman"/>
                <w:b w:val="false"/>
                <w:bCs w:val="false"/>
                <w:sz w:val="14"/>
                <w:szCs w:val="14"/>
              </w:rPr>
              <w:t xml:space="preserve">Baseline (today)</w:t>
            </w:r>
          </w:p>
        </w:tc>
        <w:tc>
          <w:tcPr>
            <w:tcW w:type="dxa" w:w="56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w:t>
            </w:r>
          </w:p>
        </w:tc>
        <w:tc>
          <w:tcPr>
            <w:tcW w:type="dxa" w:w="56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w:t>
            </w:r>
          </w:p>
        </w:tc>
        <w:tc>
          <w:tcPr>
            <w:tcW w:type="dxa" w:w="500"/>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75.5%</w:t>
            </w:r>
          </w:p>
        </w:tc>
        <w:tc>
          <w:tcPr>
            <w:tcW w:type="dxa" w:w="519"/>
            <w:tcMar>
              <w:top w:type="dxa" w:w="20"/>
              <w:left w:type="dxa" w:w="60"/>
              <w:bottom w:type="dxa" w:w="20"/>
              <w:right w:type="dxa" w:w="60"/>
            </w:tcMar>
          </w:tcPr>
          <w:p>
            <w:pPr>
              <w:jc w:val="right"/>
            </w:pPr>
            <w:r>
              <w:rPr>
                <w:rFonts w:ascii="Times New Roman" w:cs="Times New Roman" w:eastAsia="Times New Roman" w:hAnsi="Times New Roman"/>
                <w:b w:val="false"/>
                <w:bCs w:val="false"/>
                <w:sz w:val="14"/>
                <w:szCs w:val="14"/>
              </w:rPr>
              <w:t xml:space="preserve">0.692</w:t>
            </w:r>
          </w:p>
        </w:tc>
      </w:tr>
    </w:tbl>
    <w:p>
      <w:pPr>
        <w:spacing w:after="100" w:line="240"/>
        <w:jc w:val="left"/>
      </w:pPr>
      <w:r>
        <w:rPr>
          <w:rFonts w:ascii="Times New Roman" w:cs="Times New Roman" w:eastAsia="Times New Roman" w:hAnsi="Times New Roman"/>
          <w:sz w:val="16"/>
          <w:szCs w:val="16"/>
        </w:rPr>
        <w:t xml:space="preserve">Table 2 – Counterfactual siting of 50 new sites in the 129 unserved cells with registered EV owners. Coverage = share of registered EV owners living in a cell with a public charger.</w:t>
      </w:r>
    </w:p>
    <w:p>
      <w:pPr>
        <w:keepNext/>
        <w:spacing w:after="20" w:before="60"/>
        <w:jc w:val="center"/>
      </w:pPr>
      <w:r>
        <w:drawing>
          <wp:inline distT="0" distB="0" distL="0" distR="0">
            <wp:extent cx="29051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05125" cy="914400"/>
                    </a:xfrm>
                    <a:prstGeom prst="rect">
                      <a:avLst/>
                    </a:prstGeom>
                  </pic:spPr>
                </pic:pic>
              </a:graphicData>
            </a:graphic>
          </wp:inline>
        </w:drawing>
      </w:r>
    </w:p>
    <w:p>
      <w:pPr>
        <w:spacing w:after="100" w:line="240"/>
        <w:jc w:val="left"/>
      </w:pPr>
      <w:r>
        <w:rPr>
          <w:rFonts w:ascii="Times New Roman" w:cs="Times New Roman" w:eastAsia="Times New Roman" w:hAnsi="Times New Roman"/>
          <w:sz w:val="16"/>
          <w:szCs w:val="16"/>
        </w:rPr>
        <w:t xml:space="preserve">Fig. 3 – Owners reached, stranded sites and between-regency coverage Gini under the three rules.</w:t>
      </w:r>
    </w:p>
    <w:p>
      <w:pPr>
        <w:keepNext/>
        <w:spacing w:after="30" w:line="240"/>
        <w:jc w:val="left"/>
      </w:pPr>
      <w:r>
        <w:rPr>
          <w:rFonts w:ascii="Times New Roman" w:cs="Times New Roman" w:eastAsia="Times New Roman" w:hAnsi="Times New Roman"/>
          <w:b/>
          <w:bCs/>
          <w:i/>
          <w:iCs/>
          <w:sz w:val="19"/>
          <w:szCs w:val="19"/>
        </w:rPr>
        <w:t xml:space="preserve">5.4 One level is not enough</w:t>
      </w:r>
    </w:p>
    <w:p>
      <w:pPr>
        <w:spacing w:after="60" w:line="240"/>
        <w:jc w:val="both"/>
      </w:pPr>
      <w:r>
        <w:rPr>
          <w:rFonts w:ascii="Times New Roman" w:cs="Times New Roman" w:eastAsia="Times New Roman" w:hAnsi="Times New Roman"/>
          <w:sz w:val="19"/>
          <w:szCs w:val="19"/>
        </w:rPr>
        <w:t xml:space="preserve">Of the 174 served cells, 42 have tight transformer headroom but ample GI headroom and 46 the reverse — 51 % discordant. A map showing only the low-voltage level would tell a developer to avoid cells where a new dedicated transformer on a lightly loaded feeder is cheap; a map showing only the substation level would hide that the last 400 m of network is saturated. Both levels must be published, and the full paper adds the intermediate feeder level (2,574 feeders, Table 1).</w:t>
      </w:r>
    </w:p>
    <w:p>
      <w:pPr>
        <w:keepNext/>
        <w:spacing w:after="30" w:line="240"/>
        <w:jc w:val="left"/>
      </w:pPr>
      <w:r>
        <w:rPr>
          <w:rFonts w:ascii="Times New Roman" w:cs="Times New Roman" w:eastAsia="Times New Roman" w:hAnsi="Times New Roman"/>
          <w:b/>
          <w:bCs/>
          <w:i/>
          <w:iCs/>
          <w:sz w:val="19"/>
          <w:szCs w:val="19"/>
        </w:rPr>
        <w:t xml:space="preserve">5.5 Ageing and data readiness</w:t>
      </w:r>
    </w:p>
    <w:p>
      <w:pPr>
        <w:spacing w:after="60" w:line="240"/>
        <w:jc w:val="both"/>
      </w:pPr>
      <w:r>
        <w:rPr>
          <w:rFonts w:ascii="Times New Roman" w:cs="Times New Roman" w:eastAsia="Times New Roman" w:hAnsi="Times New Roman"/>
          <w:sz w:val="19"/>
          <w:szCs w:val="19"/>
        </w:rPr>
        <w:t xml:space="preserve">Growth correction at 3.0 %/yr moves 7,088 transformers (17 % of usable records) past the 80 % limit and reduces province-wide headroom from 2,624 to 2,392 MVA at transformer level and from 2,377 to 1,912 MVA at GI level; at 9.7 %/yr the reductions are 26 % and 52 % (Fig. 4, right). The underlying register is not publication-ready (Fig. 4, left): 44 % of records are not linked to a primary substation, 38 % have survey coordinates more than 1 km from the asset register, 23 % have no load reading and 22 % no rated capacity. The register also contains field-staff names and customer-identifying transformer labels that must be removed before disclosure.</w:t>
      </w:r>
    </w:p>
    <w:p>
      <w:pPr>
        <w:keepNext/>
        <w:spacing w:after="20" w:before="60"/>
        <w:jc w:val="center"/>
      </w:pPr>
      <w:r>
        <w:drawing>
          <wp:inline distT="0" distB="0" distL="0" distR="0">
            <wp:extent cx="29051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05125" cy="742950"/>
                    </a:xfrm>
                    <a:prstGeom prst="rect">
                      <a:avLst/>
                    </a:prstGeom>
                  </pic:spPr>
                </pic:pic>
              </a:graphicData>
            </a:graphic>
          </wp:inline>
        </w:drawing>
      </w:r>
    </w:p>
    <w:p>
      <w:pPr>
        <w:spacing w:after="100" w:line="240"/>
        <w:jc w:val="left"/>
      </w:pPr>
      <w:r>
        <w:rPr>
          <w:rFonts w:ascii="Times New Roman" w:cs="Times New Roman" w:eastAsia="Times New Roman" w:hAnsi="Times New Roman"/>
          <w:sz w:val="16"/>
          <w:szCs w:val="16"/>
        </w:rPr>
        <w:t xml:space="preserve">Fig. 4 – Left: share of transformer records failing each readiness check. Right: province-wide headroom at the 80 % limit under four load-growth assumptions.</w:t>
      </w:r>
    </w:p>
    <w:p>
      <w:pPr>
        <w:keepNext/>
        <w:spacing w:after="40" w:line="240"/>
        <w:jc w:val="left"/>
      </w:pPr>
      <w:r>
        <w:rPr>
          <w:rFonts w:ascii="Times New Roman" w:cs="Times New Roman" w:eastAsia="Times New Roman" w:hAnsi="Times New Roman"/>
          <w:b/>
          <w:bCs/>
          <w:sz w:val="20"/>
          <w:szCs w:val="20"/>
        </w:rPr>
        <w:t xml:space="preserve">6. DISCUSSION</w:t>
      </w:r>
    </w:p>
    <w:p>
      <w:pPr>
        <w:keepNext/>
        <w:spacing w:after="30" w:line="240"/>
        <w:jc w:val="left"/>
      </w:pPr>
      <w:r>
        <w:rPr>
          <w:rFonts w:ascii="Times New Roman" w:cs="Times New Roman" w:eastAsia="Times New Roman" w:hAnsi="Times New Roman"/>
          <w:b/>
          <w:bCs/>
          <w:i/>
          <w:iCs/>
          <w:sz w:val="19"/>
          <w:szCs w:val="19"/>
        </w:rPr>
        <w:t xml:space="preserve">6.1 A minimum standard for publishable capacity maps</w:t>
      </w:r>
    </w:p>
    <w:p>
      <w:pPr>
        <w:spacing w:after="60" w:line="240"/>
        <w:jc w:val="both"/>
      </w:pPr>
      <w:r>
        <w:rPr>
          <w:rFonts w:ascii="Times New Roman" w:cs="Times New Roman" w:eastAsia="Times New Roman" w:hAnsi="Times New Roman"/>
          <w:sz w:val="19"/>
          <w:szCs w:val="19"/>
        </w:rPr>
        <w:t xml:space="preserve">The results translate into five requirements. (1) Two levels at least — transformer and primary substation — with the feeder level where available. (2) Growth correction with a stated rate and survey date, since a static snapshot overstates headroom within two years. (3) A demand layer alongside headroom: registered EV customers, predicted energy, or both. (4) Spatial aggregation (here 5 km cells; 2 km hexagons in the companion siting tool) to protect customer and staff privacy and critical-infrastructure detail, consistent with E.DSO’s call for balanced transparency [2]. (5) Versioning and a published data-quality score, so that a map that misdirects private capital can be corrected rather than trusted.</w:t>
      </w:r>
    </w:p>
    <w:p>
      <w:pPr>
        <w:keepNext/>
        <w:spacing w:after="30" w:line="240"/>
        <w:jc w:val="left"/>
      </w:pPr>
      <w:r>
        <w:rPr>
          <w:rFonts w:ascii="Times New Roman" w:cs="Times New Roman" w:eastAsia="Times New Roman" w:hAnsi="Times New Roman"/>
          <w:b/>
          <w:bCs/>
          <w:i/>
          <w:iCs/>
          <w:sz w:val="19"/>
          <w:szCs w:val="19"/>
        </w:rPr>
        <w:t xml:space="preserve">6.2 Publication as a substitute for unbundling</w:t>
      </w:r>
    </w:p>
    <w:p>
      <w:pPr>
        <w:spacing w:after="60" w:line="240"/>
        <w:jc w:val="both"/>
      </w:pPr>
      <w:r>
        <w:rPr>
          <w:rFonts w:ascii="Times New Roman" w:cs="Times New Roman" w:eastAsia="Times New Roman" w:hAnsi="Times New Roman"/>
          <w:sz w:val="19"/>
          <w:szCs w:val="19"/>
        </w:rPr>
        <w:t xml:space="preserve">EU DSOs are generally barred from owning charging points precisely because of the information advantage documented here. Indonesia has chosen the opposite structure. In that structure the incumbent can, in principle, site its own chargers on its own knowledge of headroom and demand while third-party CPOs cannot. Publishing the two-surface map removes that asymmetry without changing ownership: it is the functional substitute for unbundling, and it steers all capital — public and private — towards gap-filling rather than densification.</w:t>
      </w:r>
    </w:p>
    <w:p>
      <w:pPr>
        <w:keepNext/>
        <w:spacing w:after="30" w:line="240"/>
        <w:jc w:val="left"/>
      </w:pPr>
      <w:r>
        <w:rPr>
          <w:rFonts w:ascii="Times New Roman" w:cs="Times New Roman" w:eastAsia="Times New Roman" w:hAnsi="Times New Roman"/>
          <w:b/>
          <w:bCs/>
          <w:i/>
          <w:iCs/>
          <w:sz w:val="19"/>
          <w:szCs w:val="19"/>
        </w:rPr>
        <w:t xml:space="preserve">6.3 Limitations</w:t>
      </w:r>
    </w:p>
    <w:p>
      <w:pPr>
        <w:spacing w:after="60" w:line="240"/>
        <w:jc w:val="both"/>
      </w:pPr>
      <w:r>
        <w:rPr>
          <w:rFonts w:ascii="Times New Roman" w:cs="Times New Roman" w:eastAsia="Times New Roman" w:hAnsi="Times New Roman"/>
          <w:sz w:val="19"/>
          <w:szCs w:val="19"/>
        </w:rPr>
        <w:t xml:space="preserve">Headroom is derived from two spot readings per transformer, not continuous metering; it is a planning proxy, not a hosting-capacity calculation in the sense of [4,8]. At 5 km resolution aggregate headroom is rarely binding (only 2 of 50 demand-only sites fall below 240 kVA); the binding constraint is locational, at the transformer and feeder, which the full analysis will resolve. Registered EV customers are a proxy for latent demand and under-represent households without a home charger. The growth rate is province-wide; unit-level rates would sharpen the correction. Finally, the counterfactual assumes 50 equal sites; a capacity-weighted portfolio may change the magnitudes but not the ordering.</w:t>
      </w:r>
    </w:p>
    <w:p>
      <w:pPr>
        <w:keepNext/>
        <w:spacing w:after="40" w:line="240"/>
        <w:jc w:val="left"/>
      </w:pPr>
      <w:r>
        <w:rPr>
          <w:rFonts w:ascii="Times New Roman" w:cs="Times New Roman" w:eastAsia="Times New Roman" w:hAnsi="Times New Roman"/>
          <w:b/>
          <w:bCs/>
          <w:sz w:val="20"/>
          <w:szCs w:val="20"/>
        </w:rPr>
        <w:t xml:space="preserve">7. CONCLUSIONS</w:t>
      </w:r>
    </w:p>
    <w:p>
      <w:pPr>
        <w:spacing w:after="60" w:line="240"/>
        <w:jc w:val="both"/>
      </w:pPr>
      <w:r>
        <w:rPr>
          <w:rFonts w:ascii="Times New Roman" w:cs="Times New Roman" w:eastAsia="Times New Roman" w:hAnsi="Times New Roman"/>
          <w:sz w:val="19"/>
          <w:szCs w:val="19"/>
        </w:rPr>
        <w:t xml:space="preserve">In a vertically integrated DSO building charging ahead of demand, the capacity map is a planning decision disguised as a data product. Publishing headroom alone reproduces the geography of the existing grid; publishing headroom and demand together, at two network levels, with growth correction and a data-quality score, redirects a fixed budget towards the cells where EV owners are already waiting. The West Java evidence — 12 % more owners reached, no stranded sites, a broader regional spread and a lower coverage Gini for the same 50 sites — is modest in magnitude but unambiguous in direction, and it is obtainable from data every DSO already holds.</w:t>
      </w:r>
    </w:p>
    <w:p>
      <w:pPr>
        <w:keepNext/>
        <w:spacing w:after="40" w:line="240"/>
        <w:jc w:val="left"/>
      </w:pPr>
      <w:r>
        <w:rPr>
          <w:rFonts w:ascii="Times New Roman" w:cs="Times New Roman" w:eastAsia="Times New Roman" w:hAnsi="Times New Roman"/>
          <w:b/>
          <w:bCs/>
          <w:sz w:val="20"/>
          <w:szCs w:val="20"/>
        </w:rPr>
        <w:t xml:space="preserve">REFERENCES</w:t>
      </w:r>
    </w:p>
    <w:p>
      <w:pPr>
        <w:spacing w:after="20" w:line="240"/>
        <w:jc w:val="left"/>
      </w:pPr>
      <w:r>
        <w:rPr>
          <w:rFonts w:ascii="Times New Roman" w:cs="Times New Roman" w:eastAsia="Times New Roman" w:hAnsi="Times New Roman"/>
          <w:sz w:val="16"/>
          <w:szCs w:val="16"/>
        </w:rPr>
        <w:t xml:space="preserve">[1] Directive (EU) 2019/944 on common rules for the internal market for electricity, Art. 32; Regulation (EU) 2024/1747 amending Regulation (EU) 2019/943 (transparency of available hosting capacity).</w:t>
      </w:r>
    </w:p>
    <w:p>
      <w:pPr>
        <w:spacing w:after="20" w:line="240"/>
        <w:jc w:val="left"/>
      </w:pPr>
      <w:r>
        <w:rPr>
          <w:rFonts w:ascii="Times New Roman" w:cs="Times New Roman" w:eastAsia="Times New Roman" w:hAnsi="Times New Roman"/>
          <w:sz w:val="16"/>
          <w:szCs w:val="16"/>
        </w:rPr>
        <w:t xml:space="preserve">[2] E.DSO, “Technology Report on Grid Hosting Capacity Maps,” E.DSO Technology &amp; Knowledge Sharing Committee, Brussels (accessed Sep. 2026).</w:t>
      </w:r>
    </w:p>
    <w:p>
      <w:pPr>
        <w:spacing w:after="20" w:line="240"/>
        <w:jc w:val="left"/>
      </w:pPr>
      <w:r>
        <w:rPr>
          <w:rFonts w:ascii="Times New Roman" w:cs="Times New Roman" w:eastAsia="Times New Roman" w:hAnsi="Times New Roman"/>
          <w:sz w:val="16"/>
          <w:szCs w:val="16"/>
        </w:rPr>
        <w:t xml:space="preserve">[3] ICCT, “Mapping the charge: why grid data is key to electrifying road freight,” International Council on Clean Transportation, Nov. 2025.</w:t>
      </w:r>
    </w:p>
    <w:p>
      <w:pPr>
        <w:spacing w:after="20" w:line="240"/>
        <w:jc w:val="left"/>
      </w:pPr>
      <w:r>
        <w:rPr>
          <w:rFonts w:ascii="Times New Roman" w:cs="Times New Roman" w:eastAsia="Times New Roman" w:hAnsi="Times New Roman"/>
          <w:sz w:val="16"/>
          <w:szCs w:val="16"/>
        </w:rPr>
        <w:t xml:space="preserve">[4] O. Lennerhag, S. Ackeby, M. H. J. Bollen, G. Foskolos and T. Gafurov, “Using measurements to increase the accuracy of hosting capacity calculations,” CIRED – Open Access Proc. J., vol. 2017, no. 1, pp. 2041–2044, 2017.</w:t>
      </w:r>
    </w:p>
    <w:p>
      <w:pPr>
        <w:spacing w:after="20" w:line="240"/>
        <w:jc w:val="left"/>
      </w:pPr>
      <w:r>
        <w:rPr>
          <w:rFonts w:ascii="Times New Roman" w:cs="Times New Roman" w:eastAsia="Times New Roman" w:hAnsi="Times New Roman"/>
          <w:sz w:val="16"/>
          <w:szCs w:val="16"/>
        </w:rPr>
        <w:t xml:space="preserve">[5] C.-W. Hsu and K. Fingerman, “Public electric vehicle charger access disparities across race and income in California,” Transport Policy, vol. 100, pp. 59–67, 2021.</w:t>
      </w:r>
    </w:p>
    <w:p>
      <w:pPr>
        <w:spacing w:after="20" w:line="240"/>
        <w:jc w:val="left"/>
      </w:pPr>
      <w:r>
        <w:rPr>
          <w:rFonts w:ascii="Times New Roman" w:cs="Times New Roman" w:eastAsia="Times New Roman" w:hAnsi="Times New Roman"/>
          <w:sz w:val="16"/>
          <w:szCs w:val="16"/>
        </w:rPr>
        <w:t xml:space="preserve">[6] B. K. Sovacool and M. H. Dworkin, “Energy justice: Conceptual insights and practical applications,” Applied Energy, vol. 142, pp. 435–444, 2015.</w:t>
      </w:r>
    </w:p>
    <w:p>
      <w:pPr>
        <w:spacing w:after="20" w:line="240"/>
        <w:jc w:val="left"/>
      </w:pPr>
      <w:r>
        <w:rPr>
          <w:rFonts w:ascii="Times New Roman" w:cs="Times New Roman" w:eastAsia="Times New Roman" w:hAnsi="Times New Roman"/>
          <w:sz w:val="16"/>
          <w:szCs w:val="16"/>
        </w:rPr>
        <w:t xml:space="preserve">[7] Regulation (EU) 2023/1804 on the deployment of alternative fuels infrastructure (AFIR); Peraturan Presiden No. 55/2019 (Indonesia).</w:t>
      </w:r>
    </w:p>
    <w:p>
      <w:pPr>
        <w:spacing w:after="20" w:line="240"/>
        <w:jc w:val="left"/>
      </w:pPr>
      <w:r>
        <w:rPr>
          <w:rFonts w:ascii="Times New Roman" w:cs="Times New Roman" w:eastAsia="Times New Roman" w:hAnsi="Times New Roman"/>
          <w:sz w:val="16"/>
          <w:szCs w:val="16"/>
        </w:rPr>
        <w:t xml:space="preserve">[8] S. M. Ismael, S. H. E. Abdel Aleem, A. Y. Abdelaziz and A. F. Zobaa, “State-of-the-art of hosting capacity in modern power systems with distributed generation,” Renewable Energy, vol. 130, pp. 1002–1020, 2019.</w:t>
      </w:r>
    </w:p>
    <w:p>
      <w:pPr>
        <w:spacing w:after="20" w:line="240"/>
        <w:jc w:val="left"/>
      </w:pPr>
      <w:r>
        <w:rPr>
          <w:rFonts w:ascii="Times New Roman" w:cs="Times New Roman" w:eastAsia="Times New Roman" w:hAnsi="Times New Roman"/>
          <w:sz w:val="16"/>
          <w:szCs w:val="16"/>
        </w:rPr>
        <w:t xml:space="preserve">[9] G. Carlton and S. Sultana, “Electric vehicle charging station accessibility and land use clustering: A case study of the Chicago region,” J. Urban Mobility, vol. 2, 100019, 2022.</w:t>
      </w:r>
    </w:p>
    <w:p>
      <w:pPr>
        <w:spacing w:after="20" w:line="240"/>
        <w:jc w:val="left"/>
      </w:pPr>
      <w:r>
        <w:rPr>
          <w:rFonts w:ascii="Times New Roman" w:cs="Times New Roman" w:eastAsia="Times New Roman" w:hAnsi="Times New Roman"/>
          <w:sz w:val="16"/>
          <w:szCs w:val="16"/>
        </w:rPr>
        <w:t xml:space="preserve">[10] A. K. Karmaker, K. Prakash, M. N. I. Siddique, M. A. Hossain and H. Pota, “Electric vehicle hosting capacity analysis: Challenges and solutions,” Renewable and Sustainable Energy Reviews, vol. 189, 113916, 2024.</w:t>
      </w:r>
    </w:p>
    <w:p>
      <w:pPr>
        <w:spacing w:after="20" w:line="240"/>
        <w:jc w:val="left"/>
      </w:pPr>
      <w:r>
        <w:rPr>
          <w:rFonts w:ascii="Times New Roman" w:cs="Times New Roman" w:eastAsia="Times New Roman" w:hAnsi="Times New Roman"/>
          <w:sz w:val="16"/>
          <w:szCs w:val="16"/>
        </w:rPr>
        <w:t xml:space="preserve">[11] M. Muratori, “Impact of uncoordinated plug-in electric vehicle charging on residential power demand,” Nature Energy, vol. 3, pp. 193–201, 2018.</w:t>
      </w:r>
    </w:p>
    <w:p>
      <w:pPr>
        <w:spacing w:after="20" w:line="240"/>
        <w:jc w:val="left"/>
      </w:pPr>
      <w:r>
        <w:rPr>
          <w:rFonts w:ascii="Times New Roman" w:cs="Times New Roman" w:eastAsia="Times New Roman" w:hAnsi="Times New Roman"/>
          <w:sz w:val="16"/>
          <w:szCs w:val="16"/>
        </w:rPr>
        <w:t xml:space="preserve">[12] W. Dai, C. Wang, H. H. Goh, J. Zhao and J. Jian, “Hosting capacity evaluation method for power distribution networks integrated with electric vehicles,” J. Modern Power Systems and Clean Energy, vol. 11, no. 5, pp. 1564–1575, 2023.</w:t>
      </w:r>
    </w:p>
    <w:p>
      <w:pPr>
        <w:spacing w:after="20" w:line="240"/>
        <w:jc w:val="left"/>
      </w:pPr>
      <w:r>
        <w:rPr>
          <w:rFonts w:ascii="Times New Roman" w:cs="Times New Roman" w:eastAsia="Times New Roman" w:hAnsi="Times New Roman"/>
          <w:sz w:val="16"/>
          <w:szCs w:val="16"/>
        </w:rPr>
        <w:t xml:space="preserve">[13] PT PLN (Persero) UID Jawa Barat, 2025 performance release: 63,503 GWh sales (+3.0 %), 35,686 MVA connected (+5.9 %), Feb. 2026.</w:t>
      </w:r>
    </w:p>
    <w:p>
      <w:pPr>
        <w:spacing w:after="20" w:line="240"/>
        <w:jc w:val="left"/>
      </w:pPr>
      <w:r>
        <w:rPr>
          <w:rFonts w:ascii="Times New Roman" w:cs="Times New Roman" w:eastAsia="Times New Roman" w:hAnsi="Times New Roman"/>
          <w:sz w:val="16"/>
          <w:szCs w:val="16"/>
        </w:rPr>
        <w:t xml:space="preserve">[14] Ember, “Transparent grids for all: hosting capacity maps,” Jul. 2024.</w:t>
      </w:r>
    </w:p>
    <w:sectPr>
      <w:headerReference w:type="default" r:id="rId9"/>
      <w:footerReference w:type="default" r:id="rId10"/>
      <w:type w:val="continuous"/>
      <w:pgSz w:w="11906" w:h="16838" w:orient="portrait"/>
      <w:pgMar w:top="1134" w:right="1134" w:bottom="1134" w:left="1134" w:header="500" w:footer="5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pBdr>
      <w:jc w:val="center"/>
    </w:pPr>
    <w:r>
      <w:rPr>
        <w:rFonts w:ascii="Times New Roman" w:cs="Times New Roman" w:eastAsia="Times New Roman" w:hAnsi="Times New Roman"/>
        <w:sz w:val="16"/>
        <w:szCs w:val="16"/>
      </w:rPr>
      <w:t xml:space="preserve">CIRED 2027 – Full paper (draft v0.1, Sep 2026)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pBdr>
      <w:jc w:val="center"/>
    </w:pPr>
    <w:r>
      <w:rPr>
        <w:rFonts w:ascii="Times New Roman" w:cs="Times New Roman" w:eastAsia="Times New Roman" w:hAnsi="Times New Roman"/>
        <w:sz w:val="16"/>
        <w:szCs w:val="16"/>
      </w:rPr>
      <w:t xml:space="preserve">CIRED 2027 – Full paper (draft v0.1, Sep 2026)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Times New Roman" w:cs="Times New Roman" w:eastAsia="Times New Roman" w:hAnsi="Times New Roman"/>
        <w:sz w:val="16"/>
        <w:szCs w:val="16"/>
      </w:rPr>
      <w:t xml:space="preserve">CIRED 2027, Stockholm, 14–17 June 2027</w:t>
    </w:r>
    <w:r>
      <w:rPr>
        <w:rFonts w:ascii="Times New Roman" w:cs="Times New Roman" w:eastAsia="Times New Roman" w:hAnsi="Times New Roman"/>
        <w:sz w:val="16"/>
        <w:szCs w:val="16"/>
      </w:rPr>
      <w:t xml:space="preserve">	Paper n° (to be assigned)</w:t>
    </w:r>
  </w:p>
  <w:p>
    <w:pPr>
      <w:pBdr>
        <w:bottom w:val="single" w:color="000000" w:sz="6"/>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Times New Roman" w:cs="Times New Roman" w:eastAsia="Times New Roman" w:hAnsi="Times New Roman"/>
        <w:sz w:val="16"/>
        <w:szCs w:val="16"/>
      </w:rPr>
      <w:t xml:space="preserve">CIRED 2027, Stockholm, 14–17 June 2027</w:t>
    </w:r>
    <w:r>
      <w:rPr>
        <w:rFonts w:ascii="Times New Roman" w:cs="Times New Roman" w:eastAsia="Times New Roman" w:hAnsi="Times New Roman"/>
        <w:sz w:val="16"/>
        <w:szCs w:val="16"/>
      </w:rPr>
      <w:t xml:space="preserve">	Paper n° (to be assigned)</w:t>
    </w:r>
  </w:p>
  <w:p>
    <w:pPr>
      <w:pBdr>
        <w:bottom w:val="single" w:color="000000" w:sz="6"/>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424b356115957a51274d682125de38e0323082a.png"/><Relationship Id="rId12" Type="http://schemas.openxmlformats.org/officeDocument/2006/relationships/image" Target="media/08f51298b4ef81012b8b945828f473cf6721843e.png"/><Relationship Id="rId13" Type="http://schemas.openxmlformats.org/officeDocument/2006/relationships/image" Target="media/a615fe34cfbea11300b25cfd09e39c8263acdaef.png"/><Relationship Id="rId14" Type="http://schemas.openxmlformats.org/officeDocument/2006/relationships/image" Target="media/9d04fa05f43e55faafe1e6764e2018c38a7349e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2026-09-02T02:28:19.915Z</dcterms:created>
  <dcterms:modified xsi:type="dcterms:W3CDTF">2026-09-02T02:28:19.915Z</dcterms:modified>
</cp:coreProperties>
</file>

<file path=docProps/custom.xml><?xml version="1.0" encoding="utf-8"?>
<Properties xmlns="http://schemas.openxmlformats.org/officeDocument/2006/custom-properties" xmlns:vt="http://schemas.openxmlformats.org/officeDocument/2006/docPropsVTypes"/>
</file>