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F7" w:rsidRPr="005F3BF7" w:rsidRDefault="005F3BF7" w:rsidP="005F3BF7">
      <w:pPr>
        <w:shd w:val="clear" w:color="auto" w:fill="454F58"/>
        <w:spacing w:after="0" w:line="240" w:lineRule="auto"/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</w:pPr>
      <w:r w:rsidRPr="005F3BF7">
        <w:rPr>
          <w:rFonts w:ascii="Courier New" w:eastAsia="Times New Roman" w:hAnsi="Courier New" w:cs="Courier New"/>
          <w:caps/>
          <w:color w:val="FFFFFF"/>
          <w:spacing w:val="15"/>
          <w:sz w:val="18"/>
          <w:szCs w:val="18"/>
        </w:rPr>
        <w:t>SUGGESTION</w:t>
      </w:r>
    </w:p>
    <w:p w:rsidR="005F3BF7" w:rsidRPr="005F3BF7" w:rsidRDefault="005F3BF7" w:rsidP="005F3BF7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You can consider handling these values </w:t>
      </w:r>
      <w:hyperlink r:id="rId5" w:tgtFrame="_blank" w:history="1">
        <w:r w:rsidRPr="005F3BF7">
          <w:rPr>
            <w:rFonts w:ascii="Arial" w:eastAsia="Times New Roman" w:hAnsi="Arial" w:cs="Arial"/>
            <w:color w:val="017A9B"/>
            <w:sz w:val="21"/>
            <w:szCs w:val="21"/>
          </w:rPr>
          <w:t>using environment variables</w:t>
        </w:r>
      </w:hyperlink>
      <w:r w:rsidRPr="005F3BF7">
        <w:rPr>
          <w:rFonts w:ascii="Arial" w:eastAsia="Times New Roman" w:hAnsi="Arial" w:cs="Arial"/>
          <w:color w:val="000709"/>
          <w:sz w:val="21"/>
          <w:szCs w:val="21"/>
        </w:rPr>
        <w:t>.</w:t>
      </w:r>
    </w:p>
    <w:p w:rsidR="005F3BF7" w:rsidRPr="005F3BF7" w:rsidRDefault="005F3BF7" w:rsidP="005F3BF7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Here are some categories, but not limited to, of code that represents logic:</w:t>
      </w:r>
    </w:p>
    <w:p w:rsidR="005F3BF7" w:rsidRPr="005F3BF7" w:rsidRDefault="005F3BF7" w:rsidP="005F3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Dealing with JWT validation</w:t>
      </w:r>
    </w:p>
    <w:p w:rsidR="005F3BF7" w:rsidRPr="005F3BF7" w:rsidRDefault="005F3BF7" w:rsidP="005F3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Endpoints declaration</w:t>
      </w:r>
    </w:p>
    <w:p w:rsidR="005F3BF7" w:rsidRPr="005F3BF7" w:rsidRDefault="005F3BF7" w:rsidP="005F3BF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Database operations</w:t>
      </w:r>
    </w:p>
    <w:p w:rsidR="005F3BF7" w:rsidRPr="005F3BF7" w:rsidRDefault="005F3BF7" w:rsidP="005F3BF7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In contrast, here are some other categories, again not limited to, of code that represents environment variables:</w:t>
      </w:r>
    </w:p>
    <w:p w:rsidR="005F3BF7" w:rsidRPr="005F3BF7" w:rsidRDefault="005F3BF7" w:rsidP="005F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API Keys/tokens</w:t>
      </w:r>
    </w:p>
    <w:p w:rsidR="005F3BF7" w:rsidRPr="005F3BF7" w:rsidRDefault="005F3BF7" w:rsidP="005F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Application environment (prod/staging, etc.)</w:t>
      </w:r>
    </w:p>
    <w:p w:rsidR="005F3BF7" w:rsidRPr="005F3BF7" w:rsidRDefault="005F3BF7" w:rsidP="005F3B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Tables or collections names</w:t>
      </w:r>
    </w:p>
    <w:p w:rsidR="005F3BF7" w:rsidRPr="005F3BF7" w:rsidRDefault="005F3BF7" w:rsidP="005F3BF7">
      <w:pPr>
        <w:shd w:val="clear" w:color="auto" w:fill="FFFFFF"/>
        <w:spacing w:after="225" w:line="300" w:lineRule="atLeast"/>
        <w:rPr>
          <w:rFonts w:ascii="Arial" w:eastAsia="Times New Roman" w:hAnsi="Arial" w:cs="Arial"/>
          <w:color w:val="000709"/>
          <w:sz w:val="21"/>
          <w:szCs w:val="21"/>
        </w:rPr>
      </w:pPr>
      <w:r w:rsidRPr="005F3BF7">
        <w:rPr>
          <w:rFonts w:ascii="Arial" w:eastAsia="Times New Roman" w:hAnsi="Arial" w:cs="Arial"/>
          <w:color w:val="000709"/>
          <w:sz w:val="21"/>
          <w:szCs w:val="21"/>
        </w:rPr>
        <w:t>This strategy allows your code to be compliant with two of the twelve essential rules provided by the </w:t>
      </w:r>
      <w:hyperlink r:id="rId6" w:tgtFrame="_blank" w:history="1">
        <w:r w:rsidRPr="005F3BF7">
          <w:rPr>
            <w:rFonts w:ascii="Arial" w:eastAsia="Times New Roman" w:hAnsi="Arial" w:cs="Arial"/>
            <w:color w:val="017A9B"/>
            <w:sz w:val="21"/>
            <w:szCs w:val="21"/>
          </w:rPr>
          <w:t>twelve-factor app strategy</w:t>
        </w:r>
      </w:hyperlink>
      <w:r w:rsidRPr="005F3BF7">
        <w:rPr>
          <w:rFonts w:ascii="Arial" w:eastAsia="Times New Roman" w:hAnsi="Arial" w:cs="Arial"/>
          <w:color w:val="000709"/>
          <w:sz w:val="21"/>
          <w:szCs w:val="21"/>
        </w:rPr>
        <w:t>, as explained below:</w:t>
      </w:r>
    </w:p>
    <w:p w:rsidR="005F3BF7" w:rsidRPr="005F3BF7" w:rsidRDefault="005F3BF7" w:rsidP="005F3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7" w:tgtFrame="_blank" w:history="1">
        <w:r w:rsidRPr="005F3BF7">
          <w:rPr>
            <w:rFonts w:ascii="Arial" w:eastAsia="Times New Roman" w:hAnsi="Arial" w:cs="Arial"/>
            <w:color w:val="017A9B"/>
            <w:sz w:val="21"/>
            <w:szCs w:val="21"/>
          </w:rPr>
          <w:t>Codebase control</w:t>
        </w:r>
      </w:hyperlink>
      <w:r w:rsidRPr="005F3BF7">
        <w:rPr>
          <w:rFonts w:ascii="Arial" w:eastAsia="Times New Roman" w:hAnsi="Arial" w:cs="Arial"/>
          <w:color w:val="000709"/>
          <w:sz w:val="21"/>
          <w:szCs w:val="21"/>
        </w:rPr>
        <w:t> - what controls the target connection is the environment variables so that the same code can handle different environments</w:t>
      </w:r>
    </w:p>
    <w:p w:rsidR="005F3BF7" w:rsidRPr="005F3BF7" w:rsidRDefault="005F3BF7" w:rsidP="005F3B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709"/>
          <w:sz w:val="21"/>
          <w:szCs w:val="21"/>
        </w:rPr>
      </w:pPr>
      <w:hyperlink r:id="rId8" w:tgtFrame="_blank" w:history="1">
        <w:r w:rsidRPr="005F3BF7">
          <w:rPr>
            <w:rFonts w:ascii="Arial" w:eastAsia="Times New Roman" w:hAnsi="Arial" w:cs="Arial"/>
            <w:color w:val="017A9B"/>
            <w:sz w:val="21"/>
            <w:szCs w:val="21"/>
          </w:rPr>
          <w:t>Dev/prod parity</w:t>
        </w:r>
      </w:hyperlink>
      <w:r w:rsidRPr="005F3BF7">
        <w:rPr>
          <w:rFonts w:ascii="Arial" w:eastAsia="Times New Roman" w:hAnsi="Arial" w:cs="Arial"/>
          <w:color w:val="000709"/>
          <w:sz w:val="21"/>
          <w:szCs w:val="21"/>
        </w:rPr>
        <w:t> - again, by leveraging environment variables to control your connection, the same code can connect on different targets accordingly.</w:t>
      </w:r>
    </w:p>
    <w:p w:rsidR="00213DBE" w:rsidRDefault="005F3BF7">
      <w:bookmarkStart w:id="0" w:name="_GoBack"/>
      <w:bookmarkEnd w:id="0"/>
    </w:p>
    <w:sectPr w:rsidR="00213DB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0B78"/>
    <w:multiLevelType w:val="multilevel"/>
    <w:tmpl w:val="61F8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B0ED8"/>
    <w:multiLevelType w:val="multilevel"/>
    <w:tmpl w:val="535A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B527C9"/>
    <w:multiLevelType w:val="multilevel"/>
    <w:tmpl w:val="099E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60"/>
    <w:rsid w:val="00135B60"/>
    <w:rsid w:val="005F3BF7"/>
    <w:rsid w:val="006F2967"/>
    <w:rsid w:val="00E5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B65E8C-6B6D-4153-8CCF-3BE19FC1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49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factor.net/dev-prod-pa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factor.net/code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factor.net/" TargetMode="External"/><Relationship Id="rId5" Type="http://schemas.openxmlformats.org/officeDocument/2006/relationships/hyperlink" Target="https://www.nylas.com/blog/making-use-of-environment-variables-in-pyth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2021-04-26T19:32:00Z</dcterms:created>
  <dcterms:modified xsi:type="dcterms:W3CDTF">2021-04-26T19:33:00Z</dcterms:modified>
</cp:coreProperties>
</file>