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发布包说明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概述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本文档就前后端的发布包内容详细说明，统一发布包的打包方式和发布方式。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后端发布包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后端发布包构建依赖gradle的application插件，此插件支持SpringBoot(bootDistTar)和一般java程序(distTar</w:t>
      </w:r>
      <w:bookmarkStart w:id="0" w:name="_GoBack"/>
      <w:bookmarkEnd w:id="0"/>
      <w:r>
        <w:rPr>
          <w:rFonts w:hint="default"/>
          <w:lang w:val="en"/>
        </w:rPr>
        <w:t>)。基于SpringBoot的web工程必须支持jetty或tomcat等容器的war包部署方式，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"https://docs.spring.io/spring-boot/docs/2.1.5.RELEASE/gradle-plugin/reference/html/" \l "packaging-executable-and-normal" </w:instrText>
      </w:r>
      <w:r>
        <w:rPr>
          <w:rFonts w:hint="default"/>
          <w:lang w:val="en"/>
        </w:rPr>
        <w:fldChar w:fldCharType="separate"/>
      </w:r>
      <w:r>
        <w:rPr>
          <w:rStyle w:val="7"/>
          <w:rFonts w:hint="default"/>
          <w:lang w:val="en"/>
        </w:rPr>
        <w:t>详见文档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>。打包的结果是一个bzip2压缩的tar包，目录如下：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目录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说明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jc w:val="both"/>
              <w:rPr>
                <w:rFonts w:hint="default"/>
                <w:color w:val="FFFFFF"/>
                <w:vertAlign w:val="baseline"/>
                <w:lang w:val="en"/>
              </w:rPr>
            </w:pPr>
            <w:r>
              <w:rPr>
                <w:rFonts w:hint="default"/>
                <w:color w:val="FFFFFF"/>
                <w:vertAlign w:val="baseline"/>
                <w:lang w:val="e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bin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可执行文件目录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lib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  <w:r>
              <w:rPr>
                <w:rFonts w:hint="default"/>
                <w:color w:val="000000"/>
                <w:vertAlign w:val="baseline"/>
                <w:lang w:val="en"/>
              </w:rPr>
              <w:t>类库依赖，classpath路径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color w:val="000000"/>
                <w:vertAlign w:val="baseline"/>
                <w:lang w:val="en"/>
              </w:rPr>
            </w:pPr>
          </w:p>
        </w:tc>
      </w:tr>
    </w:tbl>
    <w:p>
      <w:pPr>
        <w:ind w:firstLine="420" w:firstLineChars="0"/>
        <w:rPr>
          <w:rFonts w:hint="default"/>
          <w:lang w:val="e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前端发布包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发布包前端构建使用umijs产生的结果，用xz方法压缩的tar包，目录结构默认采用umijs产生的目录结构，不产生为了跳转使用的index的html文件。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SimSun" w:hAnsi="SimSun" w:eastAsia="SimSun" w:cs="SimSun"/>
        <w:b/>
        <w:color w:val="000000"/>
        <w:sz w:val="44"/>
        <w:szCs w:val="44"/>
      </w:rPr>
      <w:drawing>
        <wp:inline distT="0" distB="0" distL="118745" distR="118745">
          <wp:extent cx="493395" cy="182245"/>
          <wp:effectExtent l="0" t="0" r="1905" b="8255"/>
          <wp:docPr id="1" name="图片 1" descr="立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立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" cy="1822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</w:rPr>
      <w:t>浙江立地信息科技有限公司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02534"/>
    <w:multiLevelType w:val="multilevel"/>
    <w:tmpl w:val="E6F025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9002C"/>
    <w:rsid w:val="6FCD3396"/>
    <w:rsid w:val="BF9ECA42"/>
    <w:rsid w:val="DEBF2652"/>
    <w:rsid w:val="EF99002C"/>
    <w:rsid w:val="F7ECA358"/>
    <w:rsid w:val="FFFF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2019-05-28T16:50:00Z</dcterms:created>
  <dc:creator>work</dc:creator>
  <cp:lastModifiedBy>work</cp:lastModifiedBy>
  <dcterms:modified xsi:type="dcterms:W3CDTF">2019-06-03T14:20:46Z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