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application_date</w:t>
            </w:r>
            <w:r>
              <w:rPr>
                <w:rFonts w:hint="default"/>
                <w:lang w:val="en-US"/>
              </w:rPr>
              <w:t>:</w:t>
            </w:r>
            <w: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Получение информации о </w:t>
            </w:r>
            <w:r>
              <w:rPr>
                <w:rFonts w:hint="default"/>
                <w:lang w:val="ru-RU"/>
              </w:rPr>
              <w:t>заявке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application_date</w:t>
            </w:r>
            <w:r>
              <w:rPr>
                <w:rFonts w:hint="default"/>
                <w:lang w:val="en-US"/>
              </w:rPr>
              <w:t>:</w:t>
            </w:r>
            <w: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заявках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/applications/CountApplications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{count application}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Количество заявок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/applications/MTCA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{MTCA}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  <w:lang w:val="ru-RU"/>
              </w:rPr>
              <w:t>реднее время выполнения заявки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GET 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/applications/TravelStatistics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{travel statistic}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Статистика по типам 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application_date</w:t>
            </w:r>
            <w:r>
              <w:rPr>
                <w:rFonts w:hint="default"/>
                <w:lang w:val="en-US"/>
              </w:rPr>
              <w:t>:</w:t>
            </w:r>
            <w: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application_date</w:t>
            </w:r>
            <w:r>
              <w:rPr>
                <w:rFonts w:hint="default"/>
                <w:lang w:val="en-US"/>
              </w:rPr>
              <w:t>:</w:t>
            </w:r>
            <w: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заявки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/update</w:t>
            </w:r>
            <w:r>
              <w:rPr>
                <w:rFonts w:hint="default"/>
                <w:lang w:val="en-US"/>
              </w:rPr>
              <w:t>Status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application_date</w:t>
            </w:r>
            <w:r>
              <w:rPr>
                <w:rFonts w:hint="default"/>
                <w:lang w:val="en-US"/>
              </w:rPr>
              <w:t>:</w:t>
            </w:r>
            <w: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Изменение статуса</w:t>
            </w:r>
            <w:r>
              <w:rPr>
                <w:rFonts w:hint="default"/>
                <w:lang w:val="ru-RU"/>
              </w:rPr>
              <w:t xml:space="preserve"> заявки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/applications/updateDesiredTravel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desired_travel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application_date</w:t>
            </w:r>
            <w:r>
              <w:rPr>
                <w:rFonts w:hint="default"/>
                <w:lang w:val="en-US"/>
              </w:rPr>
              <w:t>:</w:t>
            </w:r>
            <w: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Изменение желаемого 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/applications/updateManager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manager_id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application_date</w:t>
            </w:r>
            <w:r>
              <w:rPr>
                <w:rFonts w:hint="default"/>
                <w:lang w:val="en-US"/>
              </w:rPr>
              <w:t>:</w:t>
            </w:r>
            <w:r>
              <w:t>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t>number_phone:,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Изменение ответственного менеджера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>
              <w:rPr>
                <w:rFonts w:hint="default"/>
                <w:lang w:val="ru-RU"/>
              </w:rPr>
              <w:t>заявки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contracts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  <w:r>
              <w:t>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comment_imp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информации о</w:t>
            </w:r>
          </w:p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контракте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comment_imp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Получение информации о </w:t>
            </w:r>
            <w:r>
              <w:rPr>
                <w:rFonts w:hint="default"/>
                <w:lang w:val="ru-RU"/>
              </w:rPr>
              <w:t>контракте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comment_imp</w:t>
            </w:r>
            <w:r>
              <w:t>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comment_imp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>
              <w:rPr>
                <w:rFonts w:hint="default"/>
                <w:lang w:val="ru-RU"/>
              </w:rPr>
              <w:t>контракта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</w:p>
          <w:p>
            <w:pPr>
              <w:widowControl w:val="0"/>
              <w:jc w:val="center"/>
            </w:pPr>
            <w:r>
              <w:t>/update</w:t>
            </w:r>
            <w:r>
              <w:rPr>
                <w:rFonts w:hint="default"/>
                <w:lang w:val="en-US"/>
              </w:rPr>
              <w:t>Implementer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implementer_id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comment_imp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Изменение исполнителя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/applications/updateComment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 msg: Succesfully,</w:t>
            </w:r>
          </w:p>
          <w:p>
            <w:pPr>
              <w:widowControl w:val="0"/>
              <w:jc w:val="both"/>
            </w:pPr>
            <w:r>
              <w:t>result: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</w:t>
            </w:r>
            <w:r>
              <w:t>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Изменение комментария исполнителя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200, msg: Succesfully,</w:t>
            </w:r>
          </w:p>
          <w:p>
            <w:pPr>
              <w:widowControl w:val="0"/>
              <w:jc w:val="both"/>
            </w:pPr>
            <w:r>
              <w:t>result: None</w:t>
            </w:r>
          </w:p>
          <w:p>
            <w:pPr>
              <w:widowControl w:val="0"/>
              <w:jc w:val="both"/>
            </w:pPr>
            <w: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>
              <w:rPr>
                <w:rFonts w:hint="default"/>
                <w:lang w:val="ru-RU"/>
              </w:rPr>
              <w:t>контракта</w:t>
            </w:r>
          </w:p>
        </w:tc>
      </w:tr>
    </w:tbl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4"/>
    <w:rsid w:val="00BD0A74"/>
    <w:rsid w:val="00F808D8"/>
    <w:rsid w:val="05494A4E"/>
    <w:rsid w:val="06FA4431"/>
    <w:rsid w:val="09E5415B"/>
    <w:rsid w:val="0B4771C7"/>
    <w:rsid w:val="10C63AA0"/>
    <w:rsid w:val="165A46D5"/>
    <w:rsid w:val="1AE53830"/>
    <w:rsid w:val="1D7A2FE1"/>
    <w:rsid w:val="2E5A5F47"/>
    <w:rsid w:val="309A30E4"/>
    <w:rsid w:val="321D1F7E"/>
    <w:rsid w:val="3C2421CF"/>
    <w:rsid w:val="3F5F1404"/>
    <w:rsid w:val="44EE1E79"/>
    <w:rsid w:val="4CD8739E"/>
    <w:rsid w:val="5DFA6776"/>
    <w:rsid w:val="73A924C6"/>
    <w:rsid w:val="740837C1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2023-10-23T14:06:00Z</dcterms:created>
  <dc:creator>АиВТ</dc:creator>
  <cp:lastModifiedBy>DELL</cp:lastModifiedBy>
  <dcterms:modified xsi:type="dcterms:W3CDTF">2023-12-14T15:03:01Z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7B595AF333EB43E8A7CEF59E4EC78FAC</vt:lpwstr>
  </property>
</Properties>
</file>