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148072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 of Publication</w:t>
            </w:r>
          </w:p>
        </w:tc>
        <w:tc>
          <w:tcPr>
            <w:tcW w:type="dxa" w:w="4320"/>
          </w:tcPr>
          <w:p>
            <w:r>
              <w:t>Number of Publication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681728" cy="3557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 xml:space="preserve"> ziomek-daigle 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 abubaker m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wesemann j.l.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wendling 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weidner 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waterman 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wahi n.a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vinci 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veinot p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varghese 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tunheim k.a.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65776" cy="65562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6556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Publisher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SAGE Publications Inc.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Routledge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Elsevier Inc.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Emerald Group Holdings Ltd.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BioMed Central Ltd.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Blackwell Publishing Ltd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Wiley Blackwell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Lippincott Williams and Wilkins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MDPI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American Society of Civil Engineers (ASCE)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Oxford University Press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148072" cy="39867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3986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Number of Author affliation</w:t>
            </w:r>
          </w:p>
        </w:tc>
        <w:tc>
          <w:tcPr>
            <w:tcW w:type="dxa" w:w="4320"/>
          </w:tcPr>
          <w:p>
            <w:r>
              <w:t>Occurence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148072" cy="5623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562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Keywords</w:t>
            </w:r>
          </w:p>
        </w:tc>
        <w:tc>
          <w:tcPr>
            <w:tcW w:type="dxa" w:w="4320"/>
          </w:tcPr>
          <w:p>
            <w:r>
              <w:t>Occurence</w:t>
            </w:r>
          </w:p>
        </w:tc>
      </w:tr>
      <w:tr>
        <w:tc>
          <w:tcPr>
            <w:tcW w:type="dxa" w:w="4320"/>
          </w:tcPr>
          <w:p>
            <w:r>
              <w:t>work-life balance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covid-19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burnout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job satisfaction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medical education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pandemic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graduate medical education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diversity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stress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leadership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148072" cy="50932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5093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Keywords</w:t>
            </w:r>
          </w:p>
        </w:tc>
        <w:tc>
          <w:tcPr>
            <w:tcW w:type="dxa" w:w="4320"/>
          </w:tcPr>
          <w:p>
            <w:r>
              <w:t>Occurence</w:t>
            </w:r>
          </w:p>
        </w:tc>
      </w:tr>
      <w:tr>
        <w:tc>
          <w:tcPr>
            <w:tcW w:type="dxa" w:w="4320"/>
          </w:tcPr>
          <w:p>
            <w:r>
              <w:t>work-life balance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human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humans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adult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qualitative research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article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medical education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middle aged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