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aqiesjhqh5nh" w:id="0"/>
      <w:bookmarkEnd w:id="0"/>
      <w:r w:rsidDel="00000000" w:rsidR="00000000" w:rsidRPr="00000000">
        <w:rPr>
          <w:rtl w:val="0"/>
        </w:rPr>
        <w:t xml:space="preserve">Quickstart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python -m venv .venv &amp;&amp; source .venv/bin/activate  # Windows: .venv\Scripts\activate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Get data (not tracked in Git)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python scripts/download_data.py --url &lt;public-kaggle-link&gt; --out data/source.zip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or place kc_house_data.csv under data/ (ignored by Git)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jupyter lab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Data Notes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Source: Kaggle – King County House Sales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License: per Kaggle page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Size: ~X MB (not committed)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Reproduce: download and place under `data/`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Real Estate KPI — King County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Problem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Which property features drive value and how to translate them into concise KPIs and stakeholder-ready insights?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Stakeholder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City housing board / premium buyer persona — needs evidence-based filters &amp; KPIs.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Data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Kaggle King County House Sales (not included in repo). See `data/README.md`. A small `sample-1k.csv` is provided.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Approach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EDA in notebooks (`notebooks/01_eda.ipynb`), KPI definitions, visuals in `dashboards/`. Clean repo, no raw data in Git.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Results (highlights)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Size/features show strong monotonic relation with price; outliers handled.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Waterfront &amp; location clusters lift median prices.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Recommendations: price bands, top filters, and a shortlisting rule set.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Quickstart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… (siehe oben) …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Repo Layout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… (kurzer tree) …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Next Steps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Time-series of sales, spatial smoothing, model baseline (OLS/XGBoost) with SHAP.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