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3B3" w:rsidRDefault="00DB230C">
      <w:r>
        <w:t>Mục đích FI – AA – Guide tài liệu đào tạo người dung cuối</w:t>
      </w:r>
    </w:p>
    <w:p w:rsidR="00DB230C" w:rsidRDefault="00DB230C"/>
    <w:p w:rsidR="00DB230C" w:rsidRDefault="00DB230C" w:rsidP="00DB230C">
      <w:pPr>
        <w:pStyle w:val="ListParagraph"/>
        <w:numPr>
          <w:ilvl w:val="0"/>
          <w:numId w:val="1"/>
        </w:numPr>
      </w:pPr>
      <w:r>
        <w:t>Tài liệu tập trung vào phân hệ Kế toán tài sản cố định của SAP: quản lý tài sản chung (manages general assets ), các mã giao dịch  (transactions), các thay đổi và các hoạt động khác. Nó sẽ bao gồm: quản lý năm tài sản ( Fisical Year management ), khấu hao tài sản ( Depreciation of assets – DOA ).</w:t>
      </w:r>
    </w:p>
    <w:p w:rsidR="00DB230C" w:rsidRDefault="00DB230C" w:rsidP="00DB230C">
      <w:pPr>
        <w:pStyle w:val="ListParagraph"/>
        <w:numPr>
          <w:ilvl w:val="0"/>
          <w:numId w:val="1"/>
        </w:numPr>
      </w:pPr>
      <w:r>
        <w:t>Tài liệu này sẽ hướng dẫn người dung các bước trong việc tạo tài sản cố định. Hồ sơ tổng thể thực hiện các quy trình giao dịch trong các lĩnh vực: ghi nhận ( parking ), đăng ( post ), thay đổi tài liệu ( document chaging ), khấu hao và đào ngược tài liệu ( depreation and reversals ), kết thúc năm tài chính ( fisical year closing ) và báo cáo tài chính ( reporting ).</w:t>
      </w:r>
    </w:p>
    <w:p w:rsidR="00DB230C" w:rsidRDefault="00DB230C">
      <w:r>
        <w:t xml:space="preserve"> </w:t>
      </w:r>
    </w:p>
    <w:p w:rsidR="001E4939" w:rsidRDefault="001E4939">
      <w:r>
        <w:t>Quy trình kế toán tài sản - Yêu cầu bắt bước trước khi thực hiện</w:t>
      </w:r>
    </w:p>
    <w:p w:rsidR="001E4939" w:rsidRDefault="001E4939"/>
    <w:p w:rsidR="001E4939" w:rsidRDefault="001E4939">
      <w:r>
        <w:t>Biểu đồ khấu hao tài sản – Chart of Depreciation ( COA ).</w:t>
      </w:r>
    </w:p>
    <w:p w:rsidR="001E4939" w:rsidRDefault="001E4939" w:rsidP="00CE6F11">
      <w:pPr>
        <w:pStyle w:val="ListParagraph"/>
        <w:numPr>
          <w:ilvl w:val="0"/>
          <w:numId w:val="2"/>
        </w:numPr>
      </w:pPr>
      <w:r>
        <w:t>Biểu đồ khấu hao là danh sách các lĩnh vực khấu hao được sắp xếp theo yêu cầu kinh doanh và pháp lý. Biểu đồ khấu hao cho phép bạn quản lý tất cả các quy tắc định giá tài sản ở quốc gia hay khu vực kinh tế cụ thể.</w:t>
      </w:r>
    </w:p>
    <w:p w:rsidR="00CE6F11" w:rsidRDefault="00CE6F11" w:rsidP="00CE6F11">
      <w:pPr>
        <w:pStyle w:val="ListParagraph"/>
        <w:numPr>
          <w:ilvl w:val="0"/>
          <w:numId w:val="2"/>
        </w:numPr>
      </w:pPr>
      <w:r>
        <w:t>Biểu đồ khấu hao ấn định cho từng mã công ty</w:t>
      </w:r>
    </w:p>
    <w:p w:rsidR="00CE6F11" w:rsidRDefault="00CE6F11" w:rsidP="00CE6F11">
      <w:pPr>
        <w:pStyle w:val="ListParagraph"/>
        <w:numPr>
          <w:ilvl w:val="0"/>
          <w:numId w:val="2"/>
        </w:numPr>
      </w:pPr>
      <w:r>
        <w:t>Biểu đồ khấu hao xác định bằng Khóa chính – Miểu tả của nó ( KEY – DESCRIPTIOn )</w:t>
      </w:r>
    </w:p>
    <w:p w:rsidR="00B77661" w:rsidRDefault="00B77661" w:rsidP="00B77661"/>
    <w:p w:rsidR="00B77661" w:rsidRDefault="00B77661" w:rsidP="00B77661"/>
    <w:tbl>
      <w:tblPr>
        <w:tblW w:w="0" w:type="auto"/>
        <w:tblInd w:w="78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891"/>
        <w:gridCol w:w="5220"/>
      </w:tblGrid>
      <w:tr w:rsidR="00B77661" w:rsidTr="00C23B62">
        <w:trPr>
          <w:trHeight w:val="244"/>
        </w:trPr>
        <w:tc>
          <w:tcPr>
            <w:tcW w:w="1891" w:type="dxa"/>
            <w:shd w:val="clear" w:color="auto" w:fill="A6A6A6"/>
          </w:tcPr>
          <w:p w:rsidR="00B77661" w:rsidRDefault="00B77661" w:rsidP="00C23B62">
            <w:pPr>
              <w:pStyle w:val="TableParagraph"/>
              <w:spacing w:line="224" w:lineRule="exact"/>
              <w:ind w:left="90" w:right="204"/>
              <w:jc w:val="center"/>
              <w:rPr>
                <w:sz w:val="20"/>
              </w:rPr>
            </w:pPr>
            <w:r>
              <w:rPr>
                <w:sz w:val="20"/>
              </w:rPr>
              <w:t>Depreciation</w:t>
            </w:r>
            <w:r>
              <w:rPr>
                <w:spacing w:val="-5"/>
                <w:sz w:val="20"/>
              </w:rPr>
              <w:t xml:space="preserve"> </w:t>
            </w:r>
            <w:r>
              <w:rPr>
                <w:sz w:val="20"/>
              </w:rPr>
              <w:t>Areas</w:t>
            </w:r>
          </w:p>
        </w:tc>
        <w:tc>
          <w:tcPr>
            <w:tcW w:w="5220" w:type="dxa"/>
            <w:shd w:val="clear" w:color="auto" w:fill="A6A6A6"/>
          </w:tcPr>
          <w:p w:rsidR="00B77661" w:rsidRDefault="00B77661" w:rsidP="00C23B62">
            <w:pPr>
              <w:pStyle w:val="TableParagraph"/>
              <w:spacing w:line="224" w:lineRule="exact"/>
              <w:ind w:left="105"/>
              <w:rPr>
                <w:sz w:val="20"/>
              </w:rPr>
            </w:pPr>
            <w:r>
              <w:rPr>
                <w:sz w:val="20"/>
              </w:rPr>
              <w:t>Name</w:t>
            </w:r>
            <w:r>
              <w:rPr>
                <w:spacing w:val="-4"/>
                <w:sz w:val="20"/>
              </w:rPr>
              <w:t xml:space="preserve"> </w:t>
            </w:r>
            <w:r>
              <w:rPr>
                <w:sz w:val="20"/>
              </w:rPr>
              <w:t>of</w:t>
            </w:r>
            <w:r>
              <w:rPr>
                <w:spacing w:val="-4"/>
                <w:sz w:val="20"/>
              </w:rPr>
              <w:t xml:space="preserve"> </w:t>
            </w:r>
            <w:r>
              <w:rPr>
                <w:sz w:val="20"/>
              </w:rPr>
              <w:t>the</w:t>
            </w:r>
            <w:r>
              <w:rPr>
                <w:spacing w:val="-3"/>
                <w:sz w:val="20"/>
              </w:rPr>
              <w:t xml:space="preserve"> </w:t>
            </w:r>
            <w:r>
              <w:rPr>
                <w:sz w:val="20"/>
              </w:rPr>
              <w:t>Depreciation</w:t>
            </w:r>
          </w:p>
        </w:tc>
      </w:tr>
      <w:tr w:rsidR="00B77661" w:rsidTr="00C23B62">
        <w:trPr>
          <w:trHeight w:val="244"/>
        </w:trPr>
        <w:tc>
          <w:tcPr>
            <w:tcW w:w="1891" w:type="dxa"/>
          </w:tcPr>
          <w:p w:rsidR="00B77661" w:rsidRDefault="00B77661" w:rsidP="00C23B62">
            <w:pPr>
              <w:pStyle w:val="TableParagraph"/>
              <w:spacing w:line="224" w:lineRule="exact"/>
              <w:ind w:left="5"/>
              <w:jc w:val="center"/>
              <w:rPr>
                <w:sz w:val="20"/>
              </w:rPr>
            </w:pPr>
            <w:r>
              <w:rPr>
                <w:w w:val="99"/>
                <w:sz w:val="20"/>
              </w:rPr>
              <w:t>KEY1</w:t>
            </w:r>
          </w:p>
        </w:tc>
        <w:tc>
          <w:tcPr>
            <w:tcW w:w="5220" w:type="dxa"/>
          </w:tcPr>
          <w:p w:rsidR="00B77661" w:rsidRDefault="00B77661" w:rsidP="00C23B62">
            <w:pPr>
              <w:pStyle w:val="TableParagraph"/>
              <w:spacing w:line="224" w:lineRule="exact"/>
              <w:ind w:left="105"/>
              <w:rPr>
                <w:sz w:val="20"/>
              </w:rPr>
            </w:pPr>
            <w:proofErr w:type="spellStart"/>
            <w:r>
              <w:rPr>
                <w:sz w:val="20"/>
              </w:rPr>
              <w:t>Khấu</w:t>
            </w:r>
            <w:proofErr w:type="spellEnd"/>
            <w:r>
              <w:rPr>
                <w:sz w:val="20"/>
              </w:rPr>
              <w:t xml:space="preserve"> </w:t>
            </w:r>
            <w:proofErr w:type="spellStart"/>
            <w:r>
              <w:rPr>
                <w:sz w:val="20"/>
              </w:rPr>
              <w:t>hao</w:t>
            </w:r>
            <w:proofErr w:type="spellEnd"/>
            <w:r>
              <w:rPr>
                <w:sz w:val="20"/>
              </w:rPr>
              <w:t xml:space="preserve"> 01</w:t>
            </w:r>
          </w:p>
        </w:tc>
      </w:tr>
      <w:tr w:rsidR="00B77661" w:rsidTr="00C23B62">
        <w:trPr>
          <w:trHeight w:val="241"/>
        </w:trPr>
        <w:tc>
          <w:tcPr>
            <w:tcW w:w="1891" w:type="dxa"/>
          </w:tcPr>
          <w:p w:rsidR="00B77661" w:rsidRDefault="00B77661" w:rsidP="00C23B62">
            <w:pPr>
              <w:pStyle w:val="TableParagraph"/>
              <w:spacing w:line="222" w:lineRule="exact"/>
              <w:ind w:left="90" w:right="86"/>
              <w:jc w:val="center"/>
              <w:rPr>
                <w:sz w:val="20"/>
              </w:rPr>
            </w:pPr>
            <w:r>
              <w:rPr>
                <w:sz w:val="20"/>
              </w:rPr>
              <w:t>KEY2</w:t>
            </w:r>
          </w:p>
        </w:tc>
        <w:tc>
          <w:tcPr>
            <w:tcW w:w="5220" w:type="dxa"/>
          </w:tcPr>
          <w:p w:rsidR="00B77661" w:rsidRDefault="00B77661" w:rsidP="00C23B62">
            <w:pPr>
              <w:pStyle w:val="TableParagraph"/>
              <w:spacing w:line="222" w:lineRule="exact"/>
              <w:ind w:left="105"/>
              <w:rPr>
                <w:sz w:val="20"/>
              </w:rPr>
            </w:pPr>
            <w:proofErr w:type="spellStart"/>
            <w:r>
              <w:rPr>
                <w:sz w:val="20"/>
              </w:rPr>
              <w:t>Khấu</w:t>
            </w:r>
            <w:proofErr w:type="spellEnd"/>
            <w:r>
              <w:rPr>
                <w:sz w:val="20"/>
              </w:rPr>
              <w:t xml:space="preserve"> </w:t>
            </w:r>
            <w:proofErr w:type="spellStart"/>
            <w:r>
              <w:rPr>
                <w:sz w:val="20"/>
              </w:rPr>
              <w:t>hao</w:t>
            </w:r>
            <w:proofErr w:type="spellEnd"/>
            <w:r>
              <w:rPr>
                <w:sz w:val="20"/>
              </w:rPr>
              <w:t xml:space="preserve"> 02</w:t>
            </w:r>
          </w:p>
        </w:tc>
      </w:tr>
      <w:tr w:rsidR="00B77661" w:rsidTr="00C23B62">
        <w:trPr>
          <w:trHeight w:val="246"/>
        </w:trPr>
        <w:tc>
          <w:tcPr>
            <w:tcW w:w="1891" w:type="dxa"/>
          </w:tcPr>
          <w:p w:rsidR="00B77661" w:rsidRDefault="00B77661" w:rsidP="00C23B62">
            <w:pPr>
              <w:pStyle w:val="TableParagraph"/>
              <w:spacing w:before="1" w:line="226" w:lineRule="exact"/>
              <w:ind w:left="90" w:right="86"/>
              <w:jc w:val="center"/>
              <w:rPr>
                <w:sz w:val="20"/>
              </w:rPr>
            </w:pPr>
            <w:r>
              <w:rPr>
                <w:sz w:val="20"/>
              </w:rPr>
              <w:t>KEY3</w:t>
            </w:r>
          </w:p>
        </w:tc>
        <w:tc>
          <w:tcPr>
            <w:tcW w:w="5220" w:type="dxa"/>
          </w:tcPr>
          <w:p w:rsidR="00B77661" w:rsidRDefault="00B77661" w:rsidP="00C23B62">
            <w:pPr>
              <w:pStyle w:val="TableParagraph"/>
              <w:spacing w:before="1" w:line="226" w:lineRule="exact"/>
              <w:ind w:left="105"/>
              <w:rPr>
                <w:sz w:val="20"/>
              </w:rPr>
            </w:pPr>
            <w:proofErr w:type="spellStart"/>
            <w:r>
              <w:rPr>
                <w:w w:val="95"/>
                <w:sz w:val="20"/>
              </w:rPr>
              <w:t>Khấu</w:t>
            </w:r>
            <w:proofErr w:type="spellEnd"/>
            <w:r>
              <w:rPr>
                <w:w w:val="95"/>
                <w:sz w:val="20"/>
              </w:rPr>
              <w:t xml:space="preserve"> </w:t>
            </w:r>
            <w:proofErr w:type="spellStart"/>
            <w:r>
              <w:rPr>
                <w:w w:val="95"/>
                <w:sz w:val="20"/>
              </w:rPr>
              <w:t>hao</w:t>
            </w:r>
            <w:proofErr w:type="spellEnd"/>
            <w:r>
              <w:rPr>
                <w:w w:val="95"/>
                <w:sz w:val="20"/>
              </w:rPr>
              <w:t xml:space="preserve"> 03</w:t>
            </w:r>
          </w:p>
        </w:tc>
      </w:tr>
    </w:tbl>
    <w:p w:rsidR="00B77661" w:rsidRDefault="00B77661" w:rsidP="00B77661"/>
    <w:p w:rsidR="001E4939" w:rsidRDefault="00D2554D">
      <w:r>
        <w:t>Xác định tài khoản – Account Determination</w:t>
      </w:r>
      <w:bookmarkStart w:id="0" w:name="_GoBack"/>
      <w:bookmarkEnd w:id="0"/>
    </w:p>
    <w:sectPr w:rsidR="001E493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46974"/>
    <w:multiLevelType w:val="hybridMultilevel"/>
    <w:tmpl w:val="CE10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941E3"/>
    <w:multiLevelType w:val="hybridMultilevel"/>
    <w:tmpl w:val="C58C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6D"/>
    <w:rsid w:val="001E4939"/>
    <w:rsid w:val="007D0A6D"/>
    <w:rsid w:val="00AE43B3"/>
    <w:rsid w:val="00B77661"/>
    <w:rsid w:val="00CE6F11"/>
    <w:rsid w:val="00D2554D"/>
    <w:rsid w:val="00DB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597F"/>
  <w15:chartTrackingRefBased/>
  <w15:docId w15:val="{FC475CC4-57E0-439C-B178-015D4CE0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B230C"/>
    <w:pPr>
      <w:widowControl w:val="0"/>
      <w:autoSpaceDE w:val="0"/>
      <w:autoSpaceDN w:val="0"/>
      <w:spacing w:after="0" w:line="240" w:lineRule="auto"/>
    </w:pPr>
    <w:rPr>
      <w:rFonts w:ascii="Calibri" w:eastAsia="Calibri" w:hAnsi="Calibri" w:cs="Calibri"/>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0C"/>
    <w:pPr>
      <w:ind w:left="720"/>
      <w:contextualSpacing/>
    </w:pPr>
  </w:style>
  <w:style w:type="paragraph" w:customStyle="1" w:styleId="TableParagraph">
    <w:name w:val="Table Paragraph"/>
    <w:basedOn w:val="Normal"/>
    <w:uiPriority w:val="1"/>
    <w:qFormat/>
    <w:rsid w:val="001E4939"/>
    <w:pPr>
      <w:ind w:left="107"/>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Cong Quynh</dc:creator>
  <cp:keywords/>
  <dc:description/>
  <cp:lastModifiedBy>Bui Cong Quynh</cp:lastModifiedBy>
  <cp:revision>4</cp:revision>
  <dcterms:created xsi:type="dcterms:W3CDTF">2022-11-07T01:20:00Z</dcterms:created>
  <dcterms:modified xsi:type="dcterms:W3CDTF">2022-11-07T01:49:00Z</dcterms:modified>
</cp:coreProperties>
</file>