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BDD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intégrer les clients particuliers : code client, civilité, nom, prénom,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rue, adresse, code postal, ville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2 - intégrer les entreprises : code client, dénomination sociale, nom du dirigeant,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rue, code postal, ville, tél, mail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3 - pour commande : article, réf article, Quantité, prix intermédiaire HT, prix HT total de commande, prix TTC de la commande.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* remises, escompte financier, frais de transport, consignation, avoir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4 - règlement : RIB du client, Num carte bancaire, chèque, carte bancaire, virement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BDD fournisseur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1 - intégrer les fournisseurs professionnels : code fournisseur, dénomination sociale, nom dirigeant,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rue, adresse, code postal, ville </w:t>
      </w:r>
      <w:r w:rsidDel="00000000" w:rsidR="00000000" w:rsidRPr="00000000">
        <w:rPr>
          <w:rtl w:val="0"/>
        </w:rPr>
        <w:t xml:space="preserve">Tel,</w:t>
      </w:r>
      <w:r w:rsidDel="00000000" w:rsidR="00000000" w:rsidRPr="00000000">
        <w:rPr>
          <w:rtl w:val="0"/>
        </w:rPr>
        <w:t xml:space="preserve"> mail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2 - pour commande :  article, réf article, Quantité, prix intermédiaire HT, prix HT total de commande, prix TTC de la commande.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* remises, escompte financier, (frais de transport), consignation, avoir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3 - règlement : RIB du fournisseur, chèques, carte bancaire, virement, euro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4 - gestion des articles 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modèle : marque de vêtement, marque ski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marque de vêtement : bonnet, chaussette …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délai de livraison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Utilisation des BDD pour le dirigeant → création de tableaux de bord (BDD spectacle)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Le calcul des ICP peut être une difficulté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il faut pour cela maîtriser certains docs comptables et financier et RSE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TVA à reverser : TVA collecté - TVA déductible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