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IUT de Lannion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– Semestre 1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line="240" w:lineRule="auto"/>
        <w:ind w:right="-56"/>
        <w:jc w:val="center"/>
        <w:rPr>
          <w:rFonts w:ascii="Calibri" w:cs="Calibri" w:eastAsia="Calibri" w:hAnsi="Calibri"/>
          <w:b w:val="1"/>
          <w:smallCaps w:val="1"/>
          <w:color w:val="ffffff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40"/>
          <w:szCs w:val="40"/>
          <w:rtl w:val="0"/>
        </w:rPr>
        <w:t xml:space="preserve">GESTION DES ORGANISATIONS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color w:val="5983b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5983b0"/>
          <w:sz w:val="32"/>
          <w:szCs w:val="32"/>
          <w:rtl w:val="0"/>
        </w:rPr>
        <w:t xml:space="preserve">Les critères qui permettent de caractériser une organisation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organisations sont d’une grande variété mais elles ont toutes aussi des points communs.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une première partie, nous étudierons les critères communs qui permettent d’identifier l’existence d’une organisation.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une deuxième partie, nous verrons que chaque organisation développe ses propres particularités ou spécificités selon la façon dont les critères identifiés sont remplis.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color w:val="77bc65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7bc65"/>
          <w:sz w:val="28"/>
          <w:szCs w:val="28"/>
          <w:u w:val="single"/>
          <w:rtl w:val="0"/>
        </w:rPr>
        <w:t xml:space="preserve">Première partie : les critères propres à une organisation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color w:val="66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Choisissez une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organisation de la société civile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(association, ONG, syndicat, fondations).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080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Conseils 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240" w:lineRule="auto"/>
        <w:ind w:left="10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faites des recherches sur internet si vous ne savez pas ce que sont les fondations, ONG, etc.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line="240" w:lineRule="auto"/>
        <w:ind w:left="10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choisissez une organisation de la société civile qui vous intéresse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travail individuel, donc chacun.e son organisation).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line="240" w:lineRule="auto"/>
        <w:ind w:left="10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l’organisation doit être suffisamment connue pour que vous puissiez trouver les informations demandées sur son site internet.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 partir du site Internet  de l'organisation de la société civile que vous avez choisie,  montrez qu'elle rassemble les critères propres à une organisation en remplissant le tableau 1 (page suivante).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u w:val="single"/>
          <w:rtl w:val="0"/>
        </w:rPr>
        <w:t xml:space="preserve">TABLEAU 1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MONTRER QUE “UN ENFANT PAR LA MAIN” EST UNE ASSOCIATION LOI 1901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8.000000000002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06"/>
        <w:gridCol w:w="5772"/>
        <w:tblGridChange w:id="0">
          <w:tblGrid>
            <w:gridCol w:w="4606"/>
            <w:gridCol w:w="5772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“Un enfant par la main” regroupe des personnes qui sont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volontaires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dépendent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les unes des autres.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Personnes interdépendantes et volontaires :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personne qui décide volontairement de parrainer un enfant dans le besoin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“Un enfant par la main” poursuit une (ou plusieurs)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missions/finalités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finalité lucrative et non lucrative; finalité sociale ; finalité sociétale ; finalité liée à la satisfaction de l’intérêt général ;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Finalités (non lucrative) :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sociétale (humanitaire): elle permet à chaque enfant d’obtenir ses droits fondamentaux, avoir une bonne éducation scolaire, avoir une bonne nutrition…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sociale : souhaite que les salariés, bénévoles… se sentent bien dans l’entreprise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“Un enfant par la main” exerce une ou plusieurs activités.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Activités 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aide aux enfants (familles) les plus démunis (nutrition, eau, éducation, droits fondamentaux…)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soutenir des milliers d'enfants et de familles en Afrique, en Amérique Latine et en Asie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 Un enfant par la main” dispose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 humaines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(salariés, bénévoles, fonctionnaires...),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matérielles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(machines, terrains, bâtiments…) ou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immatérielles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(logiciels…) et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financières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(apports, subventions, cotisations…)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i w:val="1"/>
                <w:color w:val="ce181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ce181e"/>
                <w:rtl w:val="0"/>
              </w:rPr>
              <w:t xml:space="preserve">Faites des recherches sur le site internet de l’organisation choisie pour faire un inventaire de ses ressources.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 humaines 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salariés : 10 à 19 salariés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bénévoles : 12 146 bénévoles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ambassadeurs : Isabelle Carré (actrice), Yves Duteil (chanteur), Marie-Sophie Lacarrau (présentatrice télé)…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entreprise : Wirquin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étudiants : BDE d’Excelia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média : France 3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 matérielles 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transports (pour aller sur le terrain)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bureau (mobilier)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 immatérielles 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site internet (informatique)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réseaux sociaux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il peut y avoir des publicités, la notoriété et l’image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 financières 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80% des fonds récoltés sont du au parrainage, aux projets et aux cadeaux solidaire qui sont transférés sur le terrain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20 % pour la recherche de nouveaux parrains, donateurs, pour les frais de fonctionnement, de sensibilisation et de coordination de l’association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dons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il peut y avoir des mécénats (don des entreprises), des cotisations/adhésion des membres, vente de produits, les legs(héritage)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“Un enfant par la main” est soumise à des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contraintes de temps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(échéances à respecter),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(elles sont limitées) et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résultats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(ils doivent être atteints)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Contraintes  de temps 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collecter les dons et l’argent avant de distribuée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nourriture les dates de péremptions ou d’autres produits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Contraintes de ressources 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manque de bénévoles pour le nombre d’enfant et de famille à aider  (12 146 bénévoles pour 60 730 enfants et familles depuis la création (1991))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ressources financières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Contraintes de résultats 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les résultats promis ne sont pas atteint les bénévoles vont partir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Les critères donnés dans cette grille peuvent resservir pour caractériser tout type d’organisation.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/>
    </w:lvl>
    <w:lvl w:ilvl="1">
      <w:start w:val="1"/>
      <w:numFmt w:val="bullet"/>
      <w:lvlText w:val=""/>
      <w:lvlJc w:val="left"/>
      <w:pPr>
        <w:ind w:left="1080" w:hanging="360"/>
      </w:pPr>
      <w:rPr/>
    </w:lvl>
    <w:lvl w:ilvl="2">
      <w:start w:val="1"/>
      <w:numFmt w:val="bullet"/>
      <w:lvlText w:val=""/>
      <w:lvlJc w:val="left"/>
      <w:pPr>
        <w:ind w:left="1440" w:hanging="360"/>
      </w:pPr>
      <w:rPr/>
    </w:lvl>
    <w:lvl w:ilvl="3">
      <w:start w:val="1"/>
      <w:numFmt w:val="bullet"/>
      <w:lvlText w:val=""/>
      <w:lvlJc w:val="left"/>
      <w:pPr>
        <w:ind w:left="1800" w:hanging="360"/>
      </w:pPr>
      <w:rPr/>
    </w:lvl>
    <w:lvl w:ilvl="4">
      <w:start w:val="1"/>
      <w:numFmt w:val="bullet"/>
      <w:lvlText w:val=""/>
      <w:lvlJc w:val="left"/>
      <w:pPr>
        <w:ind w:left="2160" w:hanging="360"/>
      </w:pPr>
      <w:rPr/>
    </w:lvl>
    <w:lvl w:ilvl="5">
      <w:start w:val="1"/>
      <w:numFmt w:val="bullet"/>
      <w:lvlText w:val=""/>
      <w:lvlJc w:val="left"/>
      <w:pPr>
        <w:ind w:left="2520" w:hanging="360"/>
      </w:pPr>
      <w:rPr/>
    </w:lvl>
    <w:lvl w:ilvl="6">
      <w:start w:val="1"/>
      <w:numFmt w:val="bullet"/>
      <w:lvlText w:val=""/>
      <w:lvlJc w:val="left"/>
      <w:pPr>
        <w:ind w:left="2880" w:hanging="360"/>
      </w:pPr>
      <w:rPr/>
    </w:lvl>
    <w:lvl w:ilvl="7">
      <w:start w:val="1"/>
      <w:numFmt w:val="bullet"/>
      <w:lvlText w:val=""/>
      <w:lvlJc w:val="left"/>
      <w:pPr>
        <w:ind w:left="3240" w:hanging="360"/>
      </w:pPr>
      <w:rPr/>
    </w:lvl>
    <w:lvl w:ilvl="8">
      <w:start w:val="1"/>
      <w:numFmt w:val="bullet"/>
      <w:lvlText w:val="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"/>
      <w:lvlJc w:val="left"/>
      <w:pPr>
        <w:ind w:left="720" w:hanging="360"/>
      </w:pPr>
      <w:rPr/>
    </w:lvl>
    <w:lvl w:ilvl="1">
      <w:start w:val="1"/>
      <w:numFmt w:val="bullet"/>
      <w:lvlText w:val=""/>
      <w:lvlJc w:val="left"/>
      <w:pPr>
        <w:ind w:left="1080" w:hanging="360"/>
      </w:pPr>
      <w:rPr/>
    </w:lvl>
    <w:lvl w:ilvl="2">
      <w:start w:val="1"/>
      <w:numFmt w:val="bullet"/>
      <w:lvlText w:val=""/>
      <w:lvlJc w:val="left"/>
      <w:pPr>
        <w:ind w:left="1440" w:hanging="360"/>
      </w:pPr>
      <w:rPr/>
    </w:lvl>
    <w:lvl w:ilvl="3">
      <w:start w:val="1"/>
      <w:numFmt w:val="bullet"/>
      <w:lvlText w:val=""/>
      <w:lvlJc w:val="left"/>
      <w:pPr>
        <w:ind w:left="1800" w:hanging="360"/>
      </w:pPr>
      <w:rPr/>
    </w:lvl>
    <w:lvl w:ilvl="4">
      <w:start w:val="1"/>
      <w:numFmt w:val="bullet"/>
      <w:lvlText w:val=""/>
      <w:lvlJc w:val="left"/>
      <w:pPr>
        <w:ind w:left="2160" w:hanging="360"/>
      </w:pPr>
      <w:rPr/>
    </w:lvl>
    <w:lvl w:ilvl="5">
      <w:start w:val="1"/>
      <w:numFmt w:val="bullet"/>
      <w:lvlText w:val=""/>
      <w:lvlJc w:val="left"/>
      <w:pPr>
        <w:ind w:left="2520" w:hanging="360"/>
      </w:pPr>
      <w:rPr/>
    </w:lvl>
    <w:lvl w:ilvl="6">
      <w:start w:val="1"/>
      <w:numFmt w:val="bullet"/>
      <w:lvlText w:val=""/>
      <w:lvlJc w:val="left"/>
      <w:pPr>
        <w:ind w:left="2880" w:hanging="360"/>
      </w:pPr>
      <w:rPr/>
    </w:lvl>
    <w:lvl w:ilvl="7">
      <w:start w:val="1"/>
      <w:numFmt w:val="bullet"/>
      <w:lvlText w:val=""/>
      <w:lvlJc w:val="left"/>
      <w:pPr>
        <w:ind w:left="3240" w:hanging="360"/>
      </w:pPr>
      <w:rPr/>
    </w:lvl>
    <w:lvl w:ilvl="8">
      <w:start w:val="1"/>
      <w:numFmt w:val="bullet"/>
      <w:lvlText w:val="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