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26"/>
        </w:rPr>
        <w:t>PHỤ LỤC SỐ 01</w:t>
      </w:r>
    </w:p>
    <w:p>
      <w:pPr>
        <w:pStyle w:val="Normal"/>
        <w:jc w:val="center"/>
        <w:rPr/>
      </w:pPr>
      <w:r>
        <w:rPr>
          <w:b/>
          <w:sz w:val="26"/>
        </w:rPr>
        <w:t>CAM KẾT SỬ DỤNG SẢN PHẨM SỐ ĐẸP</w:t>
      </w:r>
    </w:p>
    <w:p>
      <w:pPr>
        <w:pStyle w:val="Normal"/>
        <w:spacing w:before="0" w:after="0"/>
        <w:jc w:val="end"/>
        <w:rPr/>
      </w:pPr>
      <w:r>
        <w:rPr/>
        <w:t xml:space="preserve">Ngày: </w:t>
      </w:r>
      <w:r>
        <w:rPr>
          <w:b/>
          <w:sz w:val="26"/>
        </w:rPr>
        <w:t>{{ beautiful_number_day }} / {{ beautiful_number_month }} / {{ beautiful_number_year }}</w:t>
      </w:r>
    </w:p>
    <w:p>
      <w:pPr>
        <w:pStyle w:val="Normal"/>
        <w:spacing w:before="0" w:after="0"/>
        <w:jc w:val="both"/>
        <w:rPr/>
      </w:pPr>
      <w:r>
        <w:rPr>
          <w:b/>
          <w:bCs/>
        </w:rPr>
        <w:t>CÔNG TY CỔ PHẦN VIỄN THÔNG DI ĐỘNG VIETNAMOBILE</w:t>
      </w:r>
      <w:r>
        <w:rPr/>
        <w:t xml:space="preserve"> ("Bên B") sẽ cung cấp Sản Phẩm cho Khách hàng: </w:t>
      </w:r>
      <w:r>
        <w:rPr>
          <w:rFonts w:ascii="JetBrainsMono NF ExtraBold" w:hAnsi="JetBrainsMono NF ExtraBold" w:eastAsia="JetBrainsMono NF ExtraBold" w:cs="JetBrainsMono NF ExtraBold"/>
          <w:b w:val="0"/>
          <w:sz w:val="24"/>
        </w:rPr>
        <w:t>{{ beautiful_number_customer_name }}</w:t>
      </w:r>
      <w:r>
        <w:rPr>
          <w:b w:val="false"/>
          <w:sz w:val="24"/>
        </w:rPr>
        <w:t xml:space="preserve">, CCCD số: </w:t>
      </w:r>
      <w:r>
        <w:rPr>
          <w:rFonts w:ascii="JetBrainsMono NF ExtraBold" w:hAnsi="JetBrainsMono NF ExtraBold" w:eastAsia="JetBrainsMono NF ExtraBold" w:cs="JetBrainsMono NF ExtraBold"/>
          <w:b w:val="0"/>
          <w:sz w:val="24"/>
        </w:rPr>
        <w:t>{{ beautiful_number_customer_id }}</w:t>
      </w:r>
      <w:r>
        <w:rPr>
          <w:b w:val="false"/>
          <w:sz w:val="24"/>
        </w:rPr>
        <w:t xml:space="preserve"> ("Bên A") với các điều khoản chi tiết hai bên thống nhất như sau:</w:t>
      </w:r>
    </w:p>
    <w:p>
      <w:pPr>
        <w:pStyle w:val="Normal"/>
        <w:spacing w:before="0" w:after="0"/>
        <w:rPr/>
      </w:pPr>
      <w:r>
        <w:rPr>
          <w:b/>
        </w:rPr>
        <w:t>1. Sản Phẩm</w:t>
      </w:r>
    </w:p>
    <w:p>
      <w:pPr>
        <w:pStyle w:val="Normal"/>
        <w:spacing w:before="0" w:after="0"/>
        <w:jc w:val="both"/>
        <w:rPr/>
      </w:pPr>
      <w:r>
        <w:rPr/>
        <w:t>Bên B đồng ý cung cấp và Bên A đồng ý mua và đăng ký sử dụng sản phẩm ("Sản Phẩm") với các thông tin như sau:</w:t>
      </w:r>
    </w:p>
    <w:tbl>
      <w:tblPr>
        <w:tblW w:w="935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724"/>
        <w:gridCol w:w="1710"/>
        <w:gridCol w:w="1790"/>
        <w:gridCol w:w="3260"/>
        <w:gridCol w:w="1871"/>
      </w:tblGrid>
      <w:tr>
        <w:trPr/>
        <w:tc>
          <w:tcPr>
            <w:tcW w:w="724"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b/>
              </w:rPr>
              <w:t>STT</w:t>
            </w:r>
          </w:p>
        </w:tc>
        <w:tc>
          <w:tcPr>
            <w:tcW w:w="171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b/>
              </w:rPr>
              <w:t>Số thuê bao ISDN</w:t>
            </w:r>
          </w:p>
        </w:tc>
        <w:tc>
          <w:tcPr>
            <w:tcW w:w="179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b/>
              </w:rPr>
              <w:t>Thời gian cam kết</w:t>
            </w:r>
          </w:p>
        </w:tc>
        <w:tc>
          <w:tcPr>
            <w:tcW w:w="3260"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b/>
              </w:rPr>
              <w:t>Cước cam kết tối thiểu/tháng</w:t>
              <w:br/>
              <w:t>(đã bao gồm thuế GTGT)</w:t>
            </w:r>
          </w:p>
        </w:tc>
        <w:tc>
          <w:tcPr>
            <w:tcW w:w="1871" w:type="dxa"/>
            <w:tcBorders>
              <w:top w:val="single" w:sz="4" w:space="0" w:color="000000"/>
              <w:start w:val="single" w:sz="4" w:space="0" w:color="000000"/>
              <w:bottom w:val="single" w:sz="4" w:space="0" w:color="000000"/>
              <w:end w:val="single" w:sz="4" w:space="0" w:color="000000"/>
            </w:tcBorders>
          </w:tcPr>
          <w:p>
            <w:pPr>
              <w:pStyle w:val="Normal"/>
              <w:spacing w:before="0" w:after="200"/>
              <w:jc w:val="center"/>
              <w:rPr/>
            </w:pPr>
            <w:r>
              <w:rPr>
                <w:b/>
              </w:rPr>
              <w:t>Ghi chú</w:t>
            </w:r>
          </w:p>
        </w:tc>
      </w:tr>
      <w:tr>
        <w:trPr/>
        <w:tc>
          <w:tcPr>
            <w:tcW w:w="724" w:type="dxa"/>
            <w:tcBorders>
              <w:top w:val="single" w:sz="4" w:space="0" w:color="000000"/>
              <w:start w:val="single" w:sz="4" w:space="0" w:color="000000"/>
              <w:bottom w:val="single" w:sz="4" w:space="0" w:color="000000"/>
              <w:end w:val="single" w:sz="4" w:space="0" w:color="000000"/>
            </w:tcBorders>
          </w:tcPr>
          <w:p>
            <w:pPr>
              <w:pStyle w:val="Normal"/>
              <w:spacing w:before="0" w:after="143"/>
              <w:jc w:val="center"/>
              <w:rPr/>
            </w:pPr>
            <w:r>
              <w:rPr/>
              <w:t>1</w:t>
            </w:r>
          </w:p>
        </w:tc>
        <w:tc>
          <w:tcPr>
            <w:tcW w:w="171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143"/>
              <w:jc w:val="start"/>
              <w:rPr/>
            </w:pPr>
            <w:r>
              <w:rPr>
                <w:rFonts w:ascii="JetBrainsMono NF ExtraBold" w:hAnsi="JetBrainsMono NF ExtraBold" w:eastAsia="JetBrainsMono NF ExtraBold" w:cs="JetBrainsMono NF ExtraBold"/>
                <w:b w:val="0"/>
                <w:sz w:val="24"/>
              </w:rPr>
            </w:r>
          </w:p>
        </w:tc>
        <w:tc>
          <w:tcPr>
            <w:tcW w:w="179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143"/>
              <w:jc w:val="start"/>
              <w:rPr/>
            </w:pPr>
            <w:r>
              <w:rPr>
                <w:rFonts w:ascii="JetBrainsMono NF ExtraBold" w:hAnsi="JetBrainsMono NF ExtraBold" w:eastAsia="JetBrainsMono NF ExtraBold" w:cs="JetBrainsMono NF ExtraBold"/>
                <w:b w:val="0"/>
                <w:sz w:val="24"/>
              </w:rPr>
            </w:r>
          </w:p>
        </w:tc>
        <w:tc>
          <w:tcPr>
            <w:tcW w:w="3260"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143"/>
              <w:jc w:val="start"/>
              <w:rPr/>
            </w:pPr>
            <w:r>
              <w:rPr>
                <w:rFonts w:ascii="JetBrainsMono NF ExtraBold" w:hAnsi="JetBrainsMono NF ExtraBold" w:eastAsia="JetBrainsMono NF ExtraBold" w:cs="JetBrainsMono NF ExtraBold"/>
                <w:b w:val="0"/>
                <w:sz w:val="24"/>
              </w:rPr>
            </w:r>
          </w:p>
        </w:tc>
        <w:tc>
          <w:tcPr>
            <w:tcW w:w="1871"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6" w:before="0" w:after="143"/>
              <w:jc w:val="start"/>
              <w:rPr/>
            </w:pPr>
            <w:r>
              <w:rPr>
                <w:rFonts w:ascii="JetBrainsMono NF ExtraBold" w:hAnsi="JetBrainsMono NF ExtraBold" w:eastAsia="JetBrainsMono NF ExtraBold" w:cs="JetBrainsMono NF ExtraBold"/>
                <w:b w:val="0"/>
                <w:sz w:val="24"/>
              </w:rPr>
            </w:r>
          </w:p>
        </w:tc>
      </w:tr>
    </w:tbl>
    <w:p>
      <w:pPr>
        <w:pStyle w:val="Normal"/>
        <w:spacing w:before="0" w:after="0"/>
        <w:rPr/>
      </w:pPr>
      <w:r>
        <w:rPr>
          <w:b/>
        </w:rPr>
        <w:t>2. Cước cam kết sử dụng</w:t>
      </w:r>
    </w:p>
    <w:p>
      <w:pPr>
        <w:pStyle w:val="Normal"/>
        <w:spacing w:before="0" w:after="0"/>
        <w:rPr/>
      </w:pPr>
      <w:r>
        <w:rPr>
          <w:b/>
        </w:rPr>
        <w:t>2.1. Cước cam kết tối thiểu/tháng</w:t>
      </w:r>
    </w:p>
    <w:p>
      <w:pPr>
        <w:pStyle w:val="Normal"/>
        <w:spacing w:before="0" w:after="0"/>
        <w:jc w:val="both"/>
        <w:rPr/>
      </w:pPr>
      <w:r>
        <w:rPr/>
        <w:t>Cước cam kết tối thiểu hàng tháng cho Số Thuê Bao ("Cước Cam Kết Tối Thiểu") là số tiền Bên A cam kết sử dụng tối thiểu hàng tháng để dùng cho các dịch vụ viễn thông cơ bản, bao gồm: Dịch vụ điện thoại, dịch vụ truyền số liệu và dịch vụ nhắn tin đến các thuê bao di động khác.</w:t>
      </w:r>
    </w:p>
    <w:p>
      <w:pPr>
        <w:pStyle w:val="Normal"/>
        <w:spacing w:before="0" w:after="0"/>
        <w:jc w:val="both"/>
        <w:rPr/>
      </w:pPr>
      <w:r>
        <w:rPr/>
        <w:t>Cước Cam Kết Tối Thiểu không được tính cho cước sử dụng dịch vụ viễn thông giá trị gia tăng, dịch vụ ứng dụng viễn thông, dịch vụ viễn thông cộng thêm hoặc các loại dịch vụ viễn thông khác ngoài các loại dịch vụ viễn thông cơ bản được phép sử dụng Cước Cam Kết Tối Thiểu.</w:t>
      </w:r>
    </w:p>
    <w:p>
      <w:pPr>
        <w:pStyle w:val="Normal"/>
        <w:spacing w:before="0" w:after="0"/>
        <w:rPr/>
      </w:pPr>
      <w:r>
        <w:rPr>
          <w:b/>
        </w:rPr>
        <w:t>2.2. Cam kết sử dụng cước hàng tháng</w:t>
      </w:r>
    </w:p>
    <w:p>
      <w:pPr>
        <w:pStyle w:val="Normal"/>
        <w:spacing w:before="0" w:after="0"/>
        <w:jc w:val="both"/>
        <w:rPr/>
      </w:pPr>
      <w:r>
        <w:rPr/>
        <w:t>Trong mỗi Chu Kỳ Cước, Bên A cam kết sử dụng cước thông tin đạt mức Cước Cam Kết Tối Thiểu trong phụ lục đã ký.</w:t>
      </w:r>
    </w:p>
    <w:p>
      <w:pPr>
        <w:pStyle w:val="Normal"/>
        <w:spacing w:before="0" w:after="0"/>
        <w:jc w:val="both"/>
        <w:rPr/>
      </w:pPr>
      <w:r>
        <w:rPr/>
        <w:t>Trong trường hợp Số Thuê Bao không sử dụng cước thông tin bằng mức Cước Cam Kết Tối Thiểu trong bất kỳ Chu Kỳ Cước nào thì khoản còn thiếu của Cước Cam Kết Tối Thiểu trong Chu Kỳ Cước đó sẽ được Bên B trừ vào tài khoản chính của Số Thuê Bao.</w:t>
      </w:r>
    </w:p>
    <w:p>
      <w:pPr>
        <w:pStyle w:val="Normal"/>
        <w:spacing w:before="0" w:after="0"/>
        <w:jc w:val="both"/>
        <w:rPr/>
      </w:pPr>
      <w:r>
        <w:rPr/>
        <w:t>Nếu tài khoản chính của Số Thuê Bao không đủ để trừ Cước Cam Kết Tối Thiểu, Bên B có quyền khóa một chiều Số Thuê Bao.</w:t>
      </w:r>
    </w:p>
    <w:p>
      <w:pPr>
        <w:pStyle w:val="Normal"/>
        <w:spacing w:before="0" w:after="0"/>
        <w:jc w:val="both"/>
        <w:rPr/>
      </w:pPr>
      <w:r>
        <w:rPr/>
        <w:t>Các dịch vụ đối với Số Thuê Bao sẽ được khôi phục khi tài khoản chính của Số Thuê Bao có đủ số dư để trừ Cước Cam Kết Tối Thiểu cho các Chu Kỳ Cước liên quan.</w:t>
      </w:r>
    </w:p>
    <w:p>
      <w:pPr>
        <w:pStyle w:val="Normal"/>
        <w:spacing w:before="0" w:after="0"/>
        <w:jc w:val="both"/>
        <w:rPr/>
      </w:pPr>
      <w:r>
        <w:rPr/>
        <w:t>Trong trường hợp Bên B thu hồi số thuê bao, tài khoản chính của Số Thuê Bao vẫn còn tiền tại thời điểm Bên B thu hồi, số tiền này sẽ được coi là Cước Cam Kết Tối Thiểu mà Bên A phải trả cho Bên B.</w:t>
      </w:r>
    </w:p>
    <w:p>
      <w:pPr>
        <w:pStyle w:val="Normal"/>
        <w:spacing w:before="0" w:after="0"/>
        <w:rPr/>
      </w:pPr>
      <w:r>
        <w:rPr>
          <w:b/>
        </w:rPr>
        <w:t>2.3. Cam kết nạp tiền đối với Chu kỳ cước đầu tiên</w:t>
      </w:r>
    </w:p>
    <w:p>
      <w:pPr>
        <w:pStyle w:val="Normal"/>
        <w:spacing w:before="0" w:after="0"/>
        <w:jc w:val="both"/>
        <w:rPr/>
      </w:pPr>
      <w:r>
        <w:rPr/>
        <w:t>Đối với Chu Kỳ Cước Đầu Tiên: Bên A cam kết (i) nạp số tiền lớn hơn hoặc bằng Cước Cam Kết Tối Thiểu cho số ngày còn lại của tháng kích hoạt vào tài khoản chính của Số Thuê Bao để sử dụng dịch vụ viễn thông trong Chu Kỳ Cước Đầu Tiên; và (ii) Nạp tiền thành công vào Số Thuê Bao trong vòng 24 giờ kể từ khi kích hoạt số thuê bao ("Thời Hạn Kích Hoạt").</w:t>
      </w:r>
    </w:p>
    <w:p>
      <w:pPr>
        <w:pStyle w:val="Normal"/>
        <w:spacing w:before="0" w:after="0"/>
        <w:jc w:val="both"/>
        <w:rPr/>
      </w:pPr>
      <w:r>
        <w:rPr/>
        <w:t>Bên B chỉ cung cấp dịch vụ nếu Bên A đáp ứng quy định nêu trên. Trong trường hợp Số Thuê Bao không đáp ứng được quy định trên và/hoặc không kích hoạt SIM của Số Thuê Bao trong 24 giờ kể từ ngày giao SIM thành công, Bên B có quyền thu hồi Số Thuê Bao.</w:t>
      </w:r>
    </w:p>
    <w:p>
      <w:pPr>
        <w:pStyle w:val="Normal"/>
        <w:spacing w:before="0" w:after="0"/>
        <w:rPr/>
      </w:pPr>
      <w:r>
        <w:rPr>
          <w:b/>
        </w:rPr>
        <w:t>2.4. Cam kết nạp tiền đối với (các) Chu kỳ cước tiếp theo</w:t>
      </w:r>
    </w:p>
    <w:p>
      <w:pPr>
        <w:pStyle w:val="Normal"/>
        <w:spacing w:before="0" w:after="0"/>
        <w:jc w:val="both"/>
        <w:rPr/>
      </w:pPr>
      <w:r>
        <w:rPr/>
        <w:t>Bên A cam kết nạp số tiền lớn hơn hoặc bằng Cước Cam Kết Tối Thiểu vào tài khoản chính của Số Thuê Bao theo quy định tại Phụ Lục này;</w:t>
      </w:r>
    </w:p>
    <w:p>
      <w:pPr>
        <w:pStyle w:val="Normal"/>
        <w:spacing w:before="0" w:after="0"/>
        <w:jc w:val="both"/>
        <w:rPr/>
      </w:pPr>
      <w:r>
        <w:rPr/>
        <w:t>Trong trường hợp Số Thuê Bao không đáp ứng được quy định này trong hai (2) Chu Kỳ Cước liên tục, Bên B sẽ có quyền ngừng cung cấp dịch vụ viễn thông và thu hồi Số Thuê Bao.</w:t>
      </w:r>
    </w:p>
    <w:p>
      <w:pPr>
        <w:pStyle w:val="Normal"/>
        <w:spacing w:before="0" w:after="0"/>
        <w:rPr/>
      </w:pPr>
      <w:r>
        <w:rPr>
          <w:b/>
        </w:rPr>
        <w:t>2.5. Chuyển gói cước khi hết cam kết</w:t>
      </w:r>
    </w:p>
    <w:p>
      <w:pPr>
        <w:pStyle w:val="Normal"/>
        <w:spacing w:before="0" w:after="0"/>
        <w:jc w:val="both"/>
        <w:rPr/>
      </w:pPr>
      <w:r>
        <w:rPr/>
        <w:t>Hết Thời Gian Cam Kết, Số Thuê Bao được quyền chuyển sang dạng thuê bao trả trước thông thường, hoặc sử dụng gói cước khác tùy theo chính sách của Bên B tại từng thời điểm.</w:t>
      </w:r>
    </w:p>
    <w:p>
      <w:pPr>
        <w:pStyle w:val="Normal"/>
        <w:spacing w:before="0" w:after="0"/>
        <w:rPr/>
      </w:pPr>
      <w:r>
        <w:rPr>
          <w:b/>
        </w:rPr>
        <w:t>3. Thời gian cam kết sử dụng Sản phẩm</w:t>
      </w:r>
    </w:p>
    <w:p>
      <w:pPr>
        <w:pStyle w:val="Normal"/>
        <w:spacing w:before="0" w:after="0"/>
        <w:jc w:val="both"/>
        <w:rPr/>
      </w:pPr>
      <w:r>
        <w:rPr/>
        <w:t>3.1. Bên A cam kết tuân thủ các điều kiện sử dụng Sản Phẩm quy định trong Phụ Lục này trong thời gian cam kết ("Thời Gian Cam Kết").</w:t>
      </w:r>
    </w:p>
    <w:p>
      <w:pPr>
        <w:pStyle w:val="Normal"/>
        <w:spacing w:before="0" w:after="0"/>
        <w:jc w:val="both"/>
        <w:rPr/>
      </w:pPr>
      <w:r>
        <w:rPr/>
        <w:t>3.2. Thời Gian Cam Kết bao gồm: một (1) Chu Kỳ Cước Đầu Tiên và (các) Chu Kỳ Cước Tiếp Theo. Trong đó:</w:t>
      </w:r>
    </w:p>
    <w:p>
      <w:pPr>
        <w:pStyle w:val="Normal"/>
        <w:spacing w:before="0" w:after="0"/>
        <w:jc w:val="both"/>
        <w:rPr/>
      </w:pPr>
      <w:r>
        <w:rPr/>
        <w:t>"Chu Kỳ Cước Đầu Tiên": bắt đầu từ ngày đầu tiên Số Thuê Bao được kích hoạt cho đến hết ngày cuối cùng của tháng đó;</w:t>
      </w:r>
    </w:p>
    <w:p>
      <w:pPr>
        <w:pStyle w:val="Normal"/>
        <w:spacing w:before="0" w:after="0"/>
        <w:jc w:val="both"/>
        <w:rPr/>
      </w:pPr>
      <w:r>
        <w:rPr/>
        <w:t>"Chu Kỳ Cước Tiếp Theo": bắt đầu từ ngày mùng 1 dương lịch hàng tháng cho đến hết ngày cuối cùng của tháng liên quan.</w:t>
      </w:r>
    </w:p>
    <w:p>
      <w:pPr>
        <w:pStyle w:val="Normal"/>
        <w:spacing w:before="0" w:after="0"/>
        <w:jc w:val="both"/>
        <w:rPr/>
      </w:pPr>
      <w:r>
        <w:rPr/>
        <w:t>3.3. Chuyển mạng giữ số: Bên A cam kết (1) không chuyển mạng giữ số trong Thời Gian Cam Kết và (2) không thực hiện thủ tục tạm ngừng Dịch vụ.</w:t>
      </w:r>
    </w:p>
    <w:p>
      <w:pPr>
        <w:pStyle w:val="Normal"/>
        <w:spacing w:before="0" w:after="0"/>
        <w:rPr/>
      </w:pPr>
      <w:r>
        <w:rPr>
          <w:b/>
        </w:rPr>
        <w:t>4. Quyền và nghĩa vụ của Các Bên đối với Sản Phẩm</w:t>
      </w:r>
    </w:p>
    <w:p>
      <w:pPr>
        <w:pStyle w:val="Normal"/>
        <w:spacing w:before="0" w:after="0"/>
        <w:jc w:val="both"/>
        <w:rPr/>
      </w:pPr>
      <w:r>
        <w:rPr/>
        <w:t>4.1. Bên A:</w:t>
      </w:r>
    </w:p>
    <w:p>
      <w:pPr>
        <w:pStyle w:val="Normal"/>
        <w:spacing w:before="0" w:after="0"/>
        <w:jc w:val="both"/>
        <w:rPr/>
      </w:pPr>
      <w:r>
        <w:rPr/>
        <w:t>a. Cam kết thực hiện các quy định tại Hợp Đồng, và trong Phụ Lục Số 01 này;</w:t>
      </w:r>
    </w:p>
    <w:p>
      <w:pPr>
        <w:pStyle w:val="Normal"/>
        <w:spacing w:before="0" w:after="0"/>
        <w:jc w:val="both"/>
        <w:rPr/>
      </w:pPr>
      <w:r>
        <w:rPr/>
        <w:t>b. Có quyền chuyển nhượng, chuyển giao, cho, tặng hay chuyển quyền sử dụng Số Thuê Bao cho bất kỳ tổ chức hay cá nhân nào (gọi chung là "Bên Nhận Chuyển Nhượng"). Thời Gian Cam Kết của Bên Nhận Chuyển Nhượng là Thời Gian Cam Kết còn lại của Số Thuê Bao chuyển nhượng.</w:t>
      </w:r>
    </w:p>
    <w:p>
      <w:pPr>
        <w:pStyle w:val="Normal"/>
        <w:spacing w:before="0" w:after="0"/>
        <w:jc w:val="both"/>
        <w:rPr/>
      </w:pPr>
      <w:r>
        <w:rPr/>
        <w:t>Bên A có nghĩa vụ thông báo cho Bên Nhận Chuyển Nhượng điều kiện chính đối với việc sử dụng Sản Phẩm, gồm: (i) Cước Cam Kết Tối Thiểu; (ii) Thời Gian Cam Kết; (iii) Thời Gian Cam Kết còn lại; và (iv) Chu Kỳ Cước. Bên A và Bên B sẽ ký (i) biên bản thanh lý hợp đồng cung cấp dịch vụ thông tin di động mặt đất, và (ii) biên bản chuyển quyền sử dụng dịch vụ thông tin di động mặt đất theo mẫu của Bên B. Bên Nhận Chuyển Nhượng và Bên B sẽ ký Bộ Hợp Đồng mới liên quan đến việc sử dụng sản phẩm trên.</w:t>
      </w:r>
    </w:p>
    <w:p>
      <w:pPr>
        <w:pStyle w:val="Normal"/>
        <w:spacing w:before="0" w:after="0"/>
        <w:jc w:val="both"/>
        <w:rPr/>
      </w:pPr>
      <w:r>
        <w:rPr/>
        <w:t>4.2. Bên B:</w:t>
      </w:r>
    </w:p>
    <w:p>
      <w:pPr>
        <w:pStyle w:val="Normal"/>
        <w:spacing w:before="0" w:after="0"/>
        <w:jc w:val="both"/>
        <w:rPr/>
      </w:pPr>
      <w:r>
        <w:rPr/>
        <w:t>a. Có quyền thu hồi Số Thuê Bao trong trường hợp Bên A vi phạm một trong các điều kiện được quy định tại Phụ Lục này.</w:t>
      </w:r>
    </w:p>
    <w:p>
      <w:pPr>
        <w:pStyle w:val="Normal"/>
        <w:spacing w:before="0" w:after="0"/>
        <w:rPr/>
      </w:pPr>
      <w:r>
        <w:rPr>
          <w:b/>
        </w:rPr>
        <w:t>5. Điều khoản khác</w:t>
      </w:r>
    </w:p>
    <w:p>
      <w:pPr>
        <w:pStyle w:val="Normal"/>
        <w:spacing w:before="0" w:after="0"/>
        <w:jc w:val="both"/>
        <w:rPr/>
      </w:pPr>
      <w:r>
        <w:rPr/>
        <w:t>5.1. Phụ Lục Số 01 này có hiệu lực từ thời điểm ký kết và là một phần không thể tách rời của Bộ Hợp Đồng và các Phụ Lục đã ký.</w:t>
      </w:r>
    </w:p>
    <w:p>
      <w:pPr>
        <w:pStyle w:val="Normal"/>
        <w:spacing w:before="0" w:after="0"/>
        <w:jc w:val="both"/>
        <w:rPr/>
      </w:pPr>
      <w:r>
        <w:rPr/>
        <w:t>5.2. Nếu có mâu thuẫn, tranh chấp hoặc không thống nhất về cách hiểu hay diễn giải hay bất kỳ nội dung nào của các chính sách này thì Bên B và Bên A sẽ trao đổi trên tinh thần hợp tác. Tuy nhiên, nếu Các Bên không thống nhất được thì Bên B được quyền thực hiện theo đúng các điều khoản đã ký.</w:t>
      </w:r>
    </w:p>
    <w:p>
      <w:pPr>
        <w:pStyle w:val="Normal"/>
        <w:spacing w:before="0" w:after="0"/>
        <w:jc w:val="both"/>
        <w:rPr/>
      </w:pPr>
      <w:r>
        <w:rPr/>
        <w:t>5.3. Phụ Lục này được lập thành hai (02) bản có giá trị pháp lý như nhau, mỗi Bên giữ một (01) bản.</w:t>
      </w:r>
    </w:p>
    <w:p>
      <w:pPr>
        <w:pStyle w:val="Normal"/>
        <w:spacing w:before="0" w:after="80"/>
        <w:rPr/>
      </w:pPr>
      <w:r>
        <w:rPr/>
      </w:r>
    </w:p>
    <w:tbl>
      <w:tblPr>
        <w:tblW w:w="9354" w:type="dxa"/>
        <w:jc w:val="start"/>
        <w:tblInd w:w="108" w:type="dxa"/>
        <w:tblLayout w:type="fixed"/>
        <w:tblCellMar>
          <w:top w:w="0" w:type="dxa"/>
          <w:start w:w="108" w:type="dxa"/>
          <w:bottom w:w="0" w:type="dxa"/>
          <w:end w:w="108" w:type="dxa"/>
        </w:tblCellMar>
        <w:tblLook w:noHBand="0" w:noVBand="1" w:firstColumn="1" w:lastRow="0" w:lastColumn="0" w:firstRow="1" w:val="04a0"/>
      </w:tblPr>
      <w:tblGrid>
        <w:gridCol w:w="4677"/>
        <w:gridCol w:w="4677"/>
      </w:tblGrid>
      <w:tr>
        <w:trPr/>
        <w:tc>
          <w:tcPr>
            <w:tcW w:w="4677" w:type="dxa"/>
            <w:tcBorders/>
          </w:tcPr>
          <w:p>
            <w:pPr>
              <w:pStyle w:val="Normal"/>
              <w:spacing w:before="0" w:after="0"/>
              <w:jc w:val="center"/>
              <w:rPr>
                <w:sz w:val="24"/>
                <w:szCs w:val="24"/>
              </w:rPr>
            </w:pPr>
            <w:r>
              <w:rPr>
                <w:b/>
                <w:sz w:val="24"/>
                <w:szCs w:val="24"/>
              </w:rPr>
              <w:t>ĐẠI DIỆN BÊN A</w:t>
            </w:r>
          </w:p>
          <w:p>
            <w:pPr>
              <w:pStyle w:val="Normal"/>
              <w:spacing w:before="0" w:after="0"/>
              <w:jc w:val="center"/>
              <w:rPr>
                <w:sz w:val="24"/>
                <w:szCs w:val="24"/>
              </w:rPr>
            </w:pPr>
            <w:r>
              <w:rPr>
                <w:i/>
                <w:sz w:val="24"/>
                <w:szCs w:val="24"/>
              </w:rPr>
              <w:t>(Ký, ghi rõ họ tên và đóng dấu)</w:t>
            </w:r>
          </w:p>
        </w:tc>
        <w:tc>
          <w:tcPr>
            <w:tcW w:w="4677" w:type="dxa"/>
            <w:tcBorders/>
          </w:tcPr>
          <w:p>
            <w:pPr>
              <w:pStyle w:val="Normal"/>
              <w:spacing w:before="0" w:after="0"/>
              <w:jc w:val="center"/>
              <w:rPr>
                <w:sz w:val="24"/>
                <w:szCs w:val="24"/>
              </w:rPr>
            </w:pPr>
            <w:r>
              <w:rPr>
                <w:b/>
                <w:sz w:val="24"/>
                <w:szCs w:val="24"/>
              </w:rPr>
              <w:t>ĐẠI DIỆN BÊN B</w:t>
            </w:r>
          </w:p>
          <w:p>
            <w:pPr>
              <w:pStyle w:val="Normal"/>
              <w:spacing w:before="0" w:after="0"/>
              <w:jc w:val="center"/>
              <w:rPr>
                <w:sz w:val="24"/>
                <w:szCs w:val="24"/>
              </w:rPr>
            </w:pPr>
            <w:r>
              <w:rPr>
                <w:i/>
                <w:sz w:val="24"/>
                <w:szCs w:val="24"/>
              </w:rPr>
              <w:t>(Ký, ghi rõ họ tên và đóng dấu)</w:t>
            </w:r>
          </w:p>
        </w:tc>
      </w:tr>
      <w:tr>
        <w:trPr>
          <w:trHeight w:val="2077" w:hRule="exact"/>
        </w:trPr>
        <w:tc>
          <w:tcPr>
            <w:tcW w:w="4677" w:type="dxa"/>
            <w:tcBorders/>
            <w:vAlign w:val="center"/>
          </w:tcPr>
          <w:p>
            <w:pPr>
              <w:pStyle w:val="Normal"/>
              <w:spacing w:before="0" w:after="200"/>
              <w:jc w:val="center"/>
              <w:rPr/>
            </w:pPr>
            <w:r>
              <w:rPr>
                <w:rFonts w:eastAsia="Great Vibes" w:cs="Great Vibes" w:ascii="Great Vibes" w:hAnsi="Great Vibes"/>
                <w:b w:val="false"/>
                <w:sz w:val="36"/>
              </w:rPr>
              <w:t>{{ customer_signature_given_name }}</w:t>
            </w:r>
          </w:p>
        </w:tc>
        <w:tc>
          <w:tcPr>
            <w:tcW w:w="4677" w:type="dxa"/>
            <w:tcBorders/>
            <w:vAlign w:val="center"/>
          </w:tcPr>
          <w:p>
            <w:pPr>
              <w:pStyle w:val="Normal"/>
              <w:spacing w:before="0" w:after="200"/>
              <w:jc w:val="center"/>
              <w:rPr/>
            </w:pPr>
            <w:r>
              <w:rPr>
                <w:rFonts w:eastAsia="Great Vibes" w:cs="Great Vibes" w:ascii="Great Vibes" w:hAnsi="Great Vibes"/>
                <w:b w:val="false"/>
                <w:sz w:val="36"/>
              </w:rPr>
              <w:t>{{ provider_representative_given_name }}</w:t>
            </w:r>
          </w:p>
        </w:tc>
      </w:tr>
      <w:tr>
        <w:trPr/>
        <w:tc>
          <w:tcPr>
            <w:tcW w:w="4677" w:type="dxa"/>
            <w:tcBorders/>
          </w:tcPr>
          <w:p>
            <w:pPr>
              <w:pStyle w:val="Normal"/>
              <w:spacing w:before="0" w:after="0"/>
              <w:jc w:val="center"/>
              <w:rPr>
                <w:sz w:val="24"/>
                <w:szCs w:val="24"/>
              </w:rPr>
            </w:pPr>
            <w:r>
              <w:rPr>
                <w:rFonts w:eastAsia="Great Vibes" w:cs="Great Vibes" w:ascii="Great Vibes" w:hAnsi="Great Vibes"/>
                <w:b w:val="false"/>
                <w:bCs/>
                <w:i w:val="false"/>
                <w:iCs w:val="false"/>
                <w:sz w:val="36"/>
                <w:szCs w:val="24"/>
              </w:rPr>
              <w:t>{{ customer_signature_name }}</w:t>
            </w:r>
          </w:p>
        </w:tc>
        <w:tc>
          <w:tcPr>
            <w:tcW w:w="4677" w:type="dxa"/>
            <w:tcBorders/>
          </w:tcPr>
          <w:p>
            <w:pPr>
              <w:pStyle w:val="Normal"/>
              <w:spacing w:before="0" w:after="0"/>
              <w:jc w:val="center"/>
              <w:rPr>
                <w:sz w:val="24"/>
                <w:szCs w:val="24"/>
              </w:rPr>
            </w:pPr>
            <w:r>
              <w:rPr>
                <w:rFonts w:eastAsia="Great Vibes" w:cs="Great Vibes" w:ascii="Great Vibes" w:hAnsi="Great Vibes"/>
                <w:b w:val="false"/>
                <w:sz w:val="36"/>
                <w:szCs w:val="24"/>
              </w:rPr>
              <w:t>{{ provider_representative }}</w:t>
            </w:r>
          </w:p>
        </w:tc>
      </w:tr>
    </w:tbl>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7" w:right="1134" w:gutter="0" w:header="567" w:top="1474" w:footer="510" w:bottom="136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Great Vibes">
    <w:charset w:val="01" w:characterSet="utf-8"/>
    <w:family w:val="roman"/>
    <w:pitch w:val="variable"/>
    <w:embedRegular r:id="rId1" w:fontKey="{01014A78-CABC-4EF0-12AC-5CD89AEFDE01}"/>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drawing>
        <wp:inline distT="0" distB="0" distL="0" distR="0">
          <wp:extent cx="5939790" cy="39306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
                  <a:stretch>
                    <a:fillRect/>
                  </a:stretch>
                </pic:blipFill>
                <pic:spPr bwMode="auto">
                  <a:xfrm>
                    <a:off x="0" y="0"/>
                    <a:ext cx="5939790" cy="393065"/>
                  </a:xfrm>
                  <a:prstGeom prst="rect">
                    <a:avLst/>
                  </a:prstGeom>
                  <a:noFill/>
                </pic:spPr>
              </pic:pic>
            </a:graphicData>
          </a:graphic>
        </wp:inline>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drawing>
        <wp:inline distT="0" distB="0" distL="0" distR="0">
          <wp:extent cx="5939790" cy="393065"/>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
                  <a:stretch>
                    <a:fillRect/>
                  </a:stretch>
                </pic:blipFill>
                <pic:spPr bwMode="auto">
                  <a:xfrm>
                    <a:off x="0" y="0"/>
                    <a:ext cx="5939790" cy="393065"/>
                  </a:xfrm>
                  <a:prstGeom prst="rect">
                    <a:avLst/>
                  </a:prstGeom>
                  <a:noFill/>
                </pic:spPr>
              </pic:pic>
            </a:graphicData>
          </a:graphic>
        </wp:inline>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end"/>
      <w:rPr/>
    </w:pPr>
    <w:r>
      <w:rPr/>
      <w:drawing>
        <wp:inline distT="0" distB="0" distL="0" distR="0">
          <wp:extent cx="1656080" cy="4972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1656080" cy="497205"/>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end"/>
      <w:rPr/>
    </w:pPr>
    <w:r>
      <w:rPr/>
      <w:drawing>
        <wp:inline distT="0" distB="0" distL="0" distR="0">
          <wp:extent cx="1656080" cy="49720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stretch>
                    <a:fillRect/>
                  </a:stretch>
                </pic:blipFill>
                <pic:spPr bwMode="auto">
                  <a:xfrm>
                    <a:off x="0" y="0"/>
                    <a:ext cx="1656080" cy="497205"/>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4"/>
  <w:embedTrueTypeFonts/>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Application>LibreOffice/26.2.4.2$Linux_X86_64 LibreOffice_project/620$Build-2</Application>
  <AppVersion>15.0000</AppVersion>
  <Pages>3</Pages>
  <Words>1261</Words>
  <Characters>4514</Characters>
  <CharactersWithSpaces>5720</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2026-08-21T21:21:37Z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