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6044" w:rsidRPr="00AE24B8" w:rsidRDefault="00722CA7">
      <w:pPr>
        <w:pStyle w:val="1"/>
        <w:rPr>
          <w:color w:val="auto"/>
        </w:rPr>
      </w:pPr>
      <w:r w:rsidRPr="00AE24B8">
        <w:rPr>
          <w:color w:val="auto"/>
        </w:rPr>
        <w:t>Briefing Note</w:t>
      </w:r>
      <w:bookmarkStart w:id="0" w:name="_GoBack"/>
      <w:bookmarkEnd w:id="0"/>
      <w:r w:rsidRPr="00AE24B8">
        <w:rPr>
          <w:color w:val="auto"/>
        </w:rPr>
        <w:br/>
        <w:t>Ireland: Assessment of Emerging Socio-Economic and Civic Developments</w:t>
      </w:r>
    </w:p>
    <w:p w:rsidR="00756044" w:rsidRPr="00AE24B8" w:rsidRDefault="00722CA7">
      <w:r w:rsidRPr="00AE24B8">
        <w:t xml:space="preserve">In recent weeks, Ireland has witnessed a measurable increase in protest activity linked to agricultural policy concerns, cost-of-living pressures, and civic activism. </w:t>
      </w:r>
      <w:r w:rsidRPr="00AE24B8">
        <w:t>Farming representatives have undertaken coordinated actions directed at Bord Bia and senior agricultural governance figures, expressing concerns regarding food import standards and the consistency of state-backed regulatory practices. In parallel, social a</w:t>
      </w:r>
      <w:r w:rsidRPr="00AE24B8">
        <w:t>nd disability advocacy organisations have intensified public mobilisation in response to sustained pressures arising from rising energy costs and overall living expenses. Legal proceedings involving peace and human-rights activists connected to demonstrati</w:t>
      </w:r>
      <w:r w:rsidRPr="00AE24B8">
        <w:t>ons at Shannon Airport have further attracted public and media attention. While the overall scale of unrest remains contained, these developments indicate a broadening pattern of public dissatisfaction across multiple social constituencies.</w:t>
      </w:r>
    </w:p>
    <w:p w:rsidR="00756044" w:rsidRPr="00AE24B8" w:rsidRDefault="00722CA7">
      <w:pPr>
        <w:pStyle w:val="21"/>
        <w:rPr>
          <w:color w:val="auto"/>
        </w:rPr>
      </w:pPr>
      <w:r w:rsidRPr="00AE24B8">
        <w:rPr>
          <w:color w:val="auto"/>
        </w:rPr>
        <w:t>Monitoring Data</w:t>
      </w:r>
    </w:p>
    <w:p w:rsidR="00756044" w:rsidRPr="00AE24B8" w:rsidRDefault="00722CA7">
      <w:r w:rsidRPr="00AE24B8">
        <w:t>Developments have been monitored through national and independent media reporting, including Irish Times and RTÉ, open-source social media analysis related to protest activity, and automated media-monitoring alerts tracking protest-related developments wi</w:t>
      </w:r>
      <w:r w:rsidRPr="00AE24B8">
        <w:t>thin Ireland.</w:t>
      </w:r>
    </w:p>
    <w:p w:rsidR="00756044" w:rsidRPr="00AE24B8" w:rsidRDefault="00722CA7">
      <w:pPr>
        <w:pStyle w:val="21"/>
        <w:rPr>
          <w:color w:val="auto"/>
        </w:rPr>
      </w:pPr>
      <w:r w:rsidRPr="00AE24B8">
        <w:rPr>
          <w:color w:val="auto"/>
        </w:rPr>
        <w:t>Forecast</w:t>
      </w:r>
    </w:p>
    <w:p w:rsidR="00756044" w:rsidRPr="00AE24B8" w:rsidRDefault="00722CA7">
      <w:r w:rsidRPr="00AE24B8">
        <w:t>The most probable short-term outlook points to a continuation of low-intensity, protracted instability. This scenario is expected to manifest through intermittent protest actions and sustained public criticism, absent a significant e</w:t>
      </w:r>
      <w:r w:rsidRPr="00AE24B8">
        <w:t>scalation in scale or intensity. Government responses are likely to remain measured and incremental, which may limit immediate escalation while leaving underlying grievances unresolved.</w:t>
      </w:r>
    </w:p>
    <w:p w:rsidR="00756044" w:rsidRPr="00AE24B8" w:rsidRDefault="00722CA7">
      <w:pPr>
        <w:pStyle w:val="21"/>
        <w:rPr>
          <w:color w:val="auto"/>
        </w:rPr>
      </w:pPr>
      <w:r w:rsidRPr="00AE24B8">
        <w:rPr>
          <w:color w:val="auto"/>
        </w:rPr>
        <w:t>Recommendation</w:t>
      </w:r>
    </w:p>
    <w:p w:rsidR="00756044" w:rsidRPr="00AE24B8" w:rsidRDefault="00722CA7">
      <w:r w:rsidRPr="00AE24B8">
        <w:t>It is recommended that relevant state authorities conti</w:t>
      </w:r>
      <w:r w:rsidRPr="00AE24B8">
        <w:t>nue enhanced monitoring of the situation, prioritise clear and consistent public communication regarding policy measures, and engage constructively with key stakeholder groups. Preventive engagement and confidence-building measures are advised to reduce th</w:t>
      </w:r>
      <w:r w:rsidRPr="00AE24B8">
        <w:t>e risk of further escalation, while maintaining routine situational awareness, particularly in relation to public demonstrations in urban and strategically significant locations.</w:t>
      </w:r>
    </w:p>
    <w:sectPr w:rsidR="00756044" w:rsidRPr="00AE24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2CA7"/>
    <w:rsid w:val="00756044"/>
    <w:rsid w:val="00AA1D8D"/>
    <w:rsid w:val="00AE24B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222481D9-4B88-4FDA-A7A7-29CA32F9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6F201B-36C6-4186-81F1-2B8F1C8F2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331</Words>
  <Characters>1891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2026-02-09T00:42:00Z</dcterms:created>
  <dcterms:modified xsi:type="dcterms:W3CDTF">2026-02-09T00:42:00Z</dcterms:modified>
  <cp:category/>
</cp:coreProperties>
</file>