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Project Wizard Documentation, Version 1.1 - 12.02.18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jk4ovdw89ug">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_9jk4ovdw89ug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l3bgm3474lr">
            <w:r w:rsidDel="00000000" w:rsidR="00000000" w:rsidRPr="00000000">
              <w:rPr>
                <w:b w:val="1"/>
                <w:rtl w:val="0"/>
              </w:rPr>
              <w:t xml:space="preserve">2. Step-By-Step Explanation</w:t>
            </w:r>
          </w:hyperlink>
          <w:r w:rsidDel="00000000" w:rsidR="00000000" w:rsidRPr="00000000">
            <w:rPr>
              <w:b w:val="1"/>
              <w:rtl w:val="0"/>
            </w:rPr>
            <w:tab/>
          </w:r>
          <w:r w:rsidDel="00000000" w:rsidR="00000000" w:rsidRPr="00000000">
            <w:fldChar w:fldCharType="begin"/>
            <w:instrText xml:space="preserve"> PAGEREF _fl3bgm3474lr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dsejhbtkyyv">
            <w:r w:rsidDel="00000000" w:rsidR="00000000" w:rsidRPr="00000000">
              <w:rPr>
                <w:b w:val="1"/>
                <w:rtl w:val="0"/>
              </w:rPr>
              <w:t xml:space="preserve">3. Special Cases</w:t>
            </w:r>
          </w:hyperlink>
          <w:r w:rsidDel="00000000" w:rsidR="00000000" w:rsidRPr="00000000">
            <w:rPr>
              <w:b w:val="1"/>
              <w:rtl w:val="0"/>
            </w:rPr>
            <w:tab/>
          </w:r>
          <w:r w:rsidDel="00000000" w:rsidR="00000000" w:rsidRPr="00000000">
            <w:fldChar w:fldCharType="begin"/>
            <w:instrText xml:space="preserve"> PAGEREF _qdsejhbtkyyv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t1j83ip1am">
            <w:r w:rsidDel="00000000" w:rsidR="00000000" w:rsidRPr="00000000">
              <w:rPr>
                <w:rtl w:val="0"/>
              </w:rPr>
              <w:t xml:space="preserve">3.1 Experiments on Cell Lines and Single Cell Organisms</w:t>
            </w:r>
          </w:hyperlink>
          <w:r w:rsidDel="00000000" w:rsidR="00000000" w:rsidRPr="00000000">
            <w:rPr>
              <w:rtl w:val="0"/>
            </w:rPr>
            <w:tab/>
          </w:r>
          <w:r w:rsidDel="00000000" w:rsidR="00000000" w:rsidRPr="00000000">
            <w:fldChar w:fldCharType="begin"/>
            <w:instrText xml:space="preserve"> PAGEREF _kgt1j83ip1am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x2emqycskr1">
            <w:r w:rsidDel="00000000" w:rsidR="00000000" w:rsidRPr="00000000">
              <w:rPr>
                <w:rtl w:val="0"/>
              </w:rPr>
              <w:t xml:space="preserve">3.2 Multiple Levels of Exp. Factors</w:t>
            </w:r>
          </w:hyperlink>
          <w:r w:rsidDel="00000000" w:rsidR="00000000" w:rsidRPr="00000000">
            <w:rPr>
              <w:rtl w:val="0"/>
            </w:rPr>
            <w:tab/>
          </w:r>
          <w:r w:rsidDel="00000000" w:rsidR="00000000" w:rsidRPr="00000000">
            <w:fldChar w:fldCharType="begin"/>
            <w:instrText xml:space="preserve"> PAGEREF _ix2emqycskr1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lgis49nwfatk">
            <w:r w:rsidDel="00000000" w:rsidR="00000000" w:rsidRPr="00000000">
              <w:rPr>
                <w:b w:val="1"/>
                <w:rtl w:val="0"/>
              </w:rPr>
              <w:t xml:space="preserve">4. Batch Upload of Samples</w:t>
            </w:r>
          </w:hyperlink>
          <w:r w:rsidDel="00000000" w:rsidR="00000000" w:rsidRPr="00000000">
            <w:rPr>
              <w:b w:val="1"/>
              <w:rtl w:val="0"/>
            </w:rPr>
            <w:tab/>
          </w:r>
          <w:r w:rsidDel="00000000" w:rsidR="00000000" w:rsidRPr="00000000">
            <w:fldChar w:fldCharType="begin"/>
            <w:instrText xml:space="preserve"> PAGEREF _lgis49nwfatk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zf0c8y59i44">
            <w:r w:rsidDel="00000000" w:rsidR="00000000" w:rsidRPr="00000000">
              <w:rPr>
                <w:rtl w:val="0"/>
              </w:rPr>
              <w:t xml:space="preserve">4.1 General Format</w:t>
            </w:r>
          </w:hyperlink>
          <w:r w:rsidDel="00000000" w:rsidR="00000000" w:rsidRPr="00000000">
            <w:rPr>
              <w:rtl w:val="0"/>
            </w:rPr>
            <w:tab/>
          </w:r>
          <w:r w:rsidDel="00000000" w:rsidR="00000000" w:rsidRPr="00000000">
            <w:fldChar w:fldCharType="begin"/>
            <w:instrText xml:space="preserve"> PAGEREF _lzf0c8y59i44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sx29rag8bsc">
            <w:r w:rsidDel="00000000" w:rsidR="00000000" w:rsidRPr="00000000">
              <w:rPr>
                <w:rtl w:val="0"/>
              </w:rPr>
              <w:t xml:space="preserve">4.2 Adding additional meta-information</w:t>
            </w:r>
          </w:hyperlink>
          <w:r w:rsidDel="00000000" w:rsidR="00000000" w:rsidRPr="00000000">
            <w:rPr>
              <w:rtl w:val="0"/>
            </w:rPr>
            <w:tab/>
          </w:r>
          <w:r w:rsidDel="00000000" w:rsidR="00000000" w:rsidRPr="00000000">
            <w:fldChar w:fldCharType="begin"/>
            <w:instrText xml:space="preserve"> PAGEREF _csx29rag8bsc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llb2nlml94f">
            <w:r w:rsidDel="00000000" w:rsidR="00000000" w:rsidRPr="00000000">
              <w:rPr>
                <w:rtl w:val="0"/>
              </w:rPr>
              <w:t xml:space="preserve">4.3 Upload of the Experiment</w:t>
            </w:r>
          </w:hyperlink>
          <w:r w:rsidDel="00000000" w:rsidR="00000000" w:rsidRPr="00000000">
            <w:rPr>
              <w:rtl w:val="0"/>
            </w:rPr>
            <w:tab/>
          </w:r>
          <w:r w:rsidDel="00000000" w:rsidR="00000000" w:rsidRPr="00000000">
            <w:fldChar w:fldCharType="begin"/>
            <w:instrText xml:space="preserve"> PAGEREF _8llb2nlml94f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jk09gntlcni">
            <w:r w:rsidDel="00000000" w:rsidR="00000000" w:rsidRPr="00000000">
              <w:rPr>
                <w:rtl w:val="0"/>
              </w:rPr>
              <w:t xml:space="preserve">4.4 Immunomics Format</w:t>
            </w:r>
          </w:hyperlink>
          <w:r w:rsidDel="00000000" w:rsidR="00000000" w:rsidRPr="00000000">
            <w:rPr>
              <w:rtl w:val="0"/>
            </w:rPr>
            <w:tab/>
          </w:r>
          <w:r w:rsidDel="00000000" w:rsidR="00000000" w:rsidRPr="00000000">
            <w:fldChar w:fldCharType="begin"/>
            <w:instrText xml:space="preserve"> PAGEREF _3jk09gntlcni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mhd3y4316qv">
            <w:r w:rsidDel="00000000" w:rsidR="00000000" w:rsidRPr="00000000">
              <w:rPr>
                <w:b w:val="1"/>
                <w:rtl w:val="0"/>
              </w:rPr>
              <w:t xml:space="preserve">5. Metadata Upload/Edit</w:t>
            </w:r>
          </w:hyperlink>
          <w:r w:rsidDel="00000000" w:rsidR="00000000" w:rsidRPr="00000000">
            <w:rPr>
              <w:b w:val="1"/>
              <w:rtl w:val="0"/>
            </w:rPr>
            <w:tab/>
          </w:r>
          <w:r w:rsidDel="00000000" w:rsidR="00000000" w:rsidRPr="00000000">
            <w:fldChar w:fldCharType="begin"/>
            <w:instrText xml:space="preserve"> PAGEREF _dmhd3y4316qv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dyyfcus22zzt">
            <w:r w:rsidDel="00000000" w:rsidR="00000000" w:rsidRPr="00000000">
              <w:rPr>
                <w:rtl w:val="0"/>
              </w:rPr>
              <w:t xml:space="preserve">5.1 Special Properties</w:t>
            </w:r>
          </w:hyperlink>
          <w:r w:rsidDel="00000000" w:rsidR="00000000" w:rsidRPr="00000000">
            <w:rPr>
              <w:rtl w:val="0"/>
            </w:rPr>
            <w:tab/>
          </w:r>
          <w:r w:rsidDel="00000000" w:rsidR="00000000" w:rsidRPr="00000000">
            <w:fldChar w:fldCharType="begin"/>
            <w:instrText xml:space="preserve"> PAGEREF _dyyfcus22zzt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jk4ovdw89ug" w:id="0"/>
      <w:bookmarkEnd w:id="0"/>
      <w:r w:rsidDel="00000000" w:rsidR="00000000" w:rsidRPr="00000000">
        <w:rPr>
          <w:rtl w:val="0"/>
        </w:rPr>
        <w:t xml:space="preserve">1. Introduction</w:t>
      </w:r>
    </w:p>
    <w:p w:rsidR="00000000" w:rsidDel="00000000" w:rsidP="00000000" w:rsidRDefault="00000000" w:rsidRPr="00000000">
      <w:pPr>
        <w:contextualSpacing w:val="0"/>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pPr>
        <w:contextualSpacing w:val="0"/>
        <w:rPr/>
      </w:pPr>
      <w:r w:rsidDel="00000000" w:rsidR="00000000" w:rsidRPr="00000000">
        <w:rPr>
          <w:rtl w:val="0"/>
        </w:rPr>
        <w:t xml:space="preserve">qWizard is a web-application embedded into the QBiC portal (https://portal.qbic.uni- tuebingen.de) allowing users to create a full-factorial experimental design. In a full-factorial design every experimental variable, e.g. genotype, different tissue types, treatments etc., as given by the user is multiplied by the number of replicates, leading to the number and type of samples. To give an example illustrating this principles: Selecting two different tissues from one patient will result in two samples, while selecting two different tissues from two patients will results in four samples. To this end, we see several key advantages in using qWizard: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it speeds up experimental design</w:t>
      </w:r>
    </w:p>
    <w:p w:rsidR="00000000" w:rsidDel="00000000" w:rsidP="00000000" w:rsidRDefault="00000000" w:rsidRPr="00000000">
      <w:pPr>
        <w:contextualSpacing w:val="0"/>
        <w:rPr/>
      </w:pPr>
      <w:r w:rsidDel="00000000" w:rsidR="00000000" w:rsidRPr="00000000">
        <w:rPr>
          <w:rtl w:val="0"/>
        </w:rPr>
        <w:t xml:space="preserve">(b) it helps to perform statistically sound experiments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reality, full-factorial designs are rare, so qWizard enables users to remove unnecessary samples as well as specify.</w:t>
      </w:r>
    </w:p>
    <w:p w:rsidR="00000000" w:rsidDel="00000000" w:rsidP="00000000" w:rsidRDefault="00000000" w:rsidRPr="00000000">
      <w:pPr>
        <w:contextualSpacing w:val="0"/>
        <w:rPr/>
      </w:pPr>
      <w:r w:rsidDel="00000000" w:rsidR="00000000" w:rsidRPr="00000000">
        <w:rPr>
          <w:rtl w:val="0"/>
        </w:rPr>
        <w:t xml:space="preserve">An additional consideration is that qWizard uses a multi-tier data model. This means that there are (currently) three different main levels to input information about experimental design and samples. These levels are the sample source (or patient) level, the tissue (or cell culture) level and the analyte (measured samples or ”test samples”) level. Further levels exist, for example for specific experimental steps like in MHC Ligand Extraction or the Mass Spectrometry runs themselves, but information about these is either collected at the end of the wizard or when the data is registered.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l3bgm3474lr" w:id="1"/>
      <w:bookmarkEnd w:id="1"/>
      <w:r w:rsidDel="00000000" w:rsidR="00000000" w:rsidRPr="00000000">
        <w:rPr>
          <w:rtl w:val="0"/>
        </w:rPr>
        <w:t xml:space="preserve">2. Step-By-Step Explanation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first step, a project space is selected. An existing sub-project can be chosen to add experimental steps with samples or a new sub-project can be created. If a new sub-project is created, a description is needed. Other information like a meaningful short name and people involved in the project can be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662241" cy="5919788"/>
            <wp:effectExtent b="0" l="0" r="0" t="0"/>
            <wp:docPr id="31"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3662241" cy="5919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bottom of the first step, we can either add a completely new experiment or specify which kind of addition to an existing sub-project we would like to make. We can also create an empty sub-project and add samples later.</w:t>
      </w:r>
    </w:p>
    <w:p w:rsidR="00000000" w:rsidDel="00000000" w:rsidP="00000000" w:rsidRDefault="00000000" w:rsidRPr="00000000">
      <w:pPr>
        <w:contextualSpacing w:val="0"/>
        <w:rPr/>
      </w:pPr>
      <w:r w:rsidDel="00000000" w:rsidR="00000000" w:rsidRPr="00000000">
        <w:rPr>
          <w:rtl w:val="0"/>
        </w:rPr>
        <w:t xml:space="preserve">If our sub-project is a pilot study, the related box can be checked.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010025" cy="4505325"/>
            <wp:effectExtent b="0" l="0" r="0" t="0"/>
            <wp:docPr id="10"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4010025" cy="450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next step, the source of our samples has to be selected. In this example, we want to compare a group of healthy humans with a group of influenza patients. We select Homo Sapiens and the experimental variable “Health State”, as well as 3 replicates (each group will consist of 3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05375" cy="4867275"/>
            <wp:effectExtent b="0" l="0" r="0" t="0"/>
            <wp:docPr id="18" name="image49.png"/>
            <a:graphic>
              <a:graphicData uri="http://schemas.openxmlformats.org/drawingml/2006/picture">
                <pic:pic>
                  <pic:nvPicPr>
                    <pic:cNvPr id="0" name="image49.png"/>
                    <pic:cNvPicPr preferRelativeResize="0"/>
                  </pic:nvPicPr>
                  <pic:blipFill>
                    <a:blip r:embed="rId8"/>
                    <a:srcRect b="0" l="0" r="0" t="0"/>
                    <a:stretch>
                      <a:fillRect/>
                    </a:stretch>
                  </pic:blipFill>
                  <pic:spPr>
                    <a:xfrm>
                      <a:off x="0" y="0"/>
                      <a:ext cx="4905375" cy="4867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we selected the “health state” variable, the next step asks us to specify which kind of health states are investigated in this project. After adding this information (one per line) and selecting the type of value (in this case “categorical” information), the amount (which can be changed) and type of patients are summarized:</w:t>
      </w:r>
    </w:p>
    <w:p w:rsidR="00000000" w:rsidDel="00000000" w:rsidP="00000000" w:rsidRDefault="00000000" w:rsidRPr="00000000">
      <w:pPr>
        <w:contextualSpacing w:val="0"/>
        <w:rPr/>
      </w:pPr>
      <w:r w:rsidDel="00000000" w:rsidR="00000000" w:rsidRPr="00000000">
        <w:rPr/>
        <w:drawing>
          <wp:inline distB="114300" distT="114300" distL="114300" distR="114300">
            <wp:extent cx="3686175" cy="5267325"/>
            <wp:effectExtent b="0" l="0" r="0" t="0"/>
            <wp:docPr id="29"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3686175" cy="526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next step, we can make some last changes to our patient information. We can change names, add a second identifier or delete superfluous samples: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819650" cy="3943350"/>
            <wp:effectExtent b="0" l="0" r="0" t="0"/>
            <wp:docPr id="17" name="image48.png"/>
            <a:graphic>
              <a:graphicData uri="http://schemas.openxmlformats.org/drawingml/2006/picture">
                <pic:pic>
                  <pic:nvPicPr>
                    <pic:cNvPr id="0" name="image48.png"/>
                    <pic:cNvPicPr preferRelativeResize="0"/>
                  </pic:nvPicPr>
                  <pic:blipFill>
                    <a:blip r:embed="rId10"/>
                    <a:srcRect b="0" l="0" r="0" t="0"/>
                    <a:stretch>
                      <a:fillRect/>
                    </a:stretch>
                  </pic:blipFill>
                  <pic:spPr>
                    <a:xfrm>
                      <a:off x="0" y="0"/>
                      <a:ext cx="4819650" cy="3943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step handles sample extracts: the kind of tissue taken from patients for this experiment. For special cases (often cell-cultures), isotope labeling can be selected. In this case we only select that blood samples are taken. Since we draw only one blood sample per patient, we leave the number of replicates at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52950" cy="4648200"/>
            <wp:effectExtent b="0" l="0" r="0" t="0"/>
            <wp:docPr id="11"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4552950" cy="464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could theoretically add other experimental variables at this step (more on that later), but since we did not, we are presented with the summary step of this (extract)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14900" cy="4543425"/>
            <wp:effectExtent b="0" l="0" r="0" t="0"/>
            <wp:docPr id="20"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4914900" cy="4543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cases using isotope labeling, samples can be pooled here. Again, names of the blood samples can be changed or single samples deleted.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next step, the analysis method(s) are selected. Let’s say we want to sequence DNA as well as measure RNA abundance of different active genes using a Microarray and extract one of each analyte samples from each blood sample (keep “1” as replicate):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191125" cy="3952875"/>
            <wp:effectExtent b="0" l="0" r="0" t="0"/>
            <wp:docPr id="16"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5191125" cy="3952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cases where no Analytes are extracted (e.g. medical imaging), we can stop the experiment process at this point by selecting “No further preparation”. In both cases we are presented with a summary in the next step: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337997" cy="4090988"/>
            <wp:effectExtent b="0" l="0" r="0" t="0"/>
            <wp:docPr id="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337997" cy="4090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created 6 patient objects, 6 blood samples, and 6 (RNA) + 6 (DNA) samples, leading to 12 analyte samples in total. We can now select to register the experiment(s) and samples we created or send in the study design for review.</w:t>
      </w:r>
    </w:p>
    <w:p w:rsidR="00000000" w:rsidDel="00000000" w:rsidP="00000000" w:rsidRDefault="00000000" w:rsidRPr="00000000">
      <w:pPr>
        <w:contextualSpacing w:val="0"/>
        <w:rPr/>
      </w:pPr>
      <w:r w:rsidDel="00000000" w:rsidR="00000000" w:rsidRPr="00000000">
        <w:rPr/>
        <w:drawing>
          <wp:inline distB="114300" distT="114300" distL="114300" distR="114300">
            <wp:extent cx="3211152" cy="4024313"/>
            <wp:effectExtent b="0" l="0" r="0" t="0"/>
            <wp:docPr id="19"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3211152" cy="4024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registration of experiments and samples is completed, we can download spreadsheets of the different experiment levels. This is especially useful for easily updating metadata later (see Chapter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now directly go to the project in the Project Browser or we can upload some additional information via small experiment-related files. To do this, we select the box, add a description and choose the file from hard disk. Multiple files can be added before pressing “Commit”, sending them to the database.</w:t>
      </w:r>
    </w:p>
    <w:p w:rsidR="00000000" w:rsidDel="00000000" w:rsidP="00000000" w:rsidRDefault="00000000" w:rsidRPr="00000000">
      <w:pPr>
        <w:pStyle w:val="Heading1"/>
        <w:contextualSpacing w:val="0"/>
        <w:rPr/>
      </w:pPr>
      <w:bookmarkStart w:colFirst="0" w:colLast="0" w:name="_vryadj3aw7ri"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qdsejhbtkyyv" w:id="3"/>
      <w:bookmarkEnd w:id="3"/>
      <w:r w:rsidDel="00000000" w:rsidR="00000000" w:rsidRPr="00000000">
        <w:rPr>
          <w:rtl w:val="0"/>
        </w:rPr>
        <w:t xml:space="preserve">3. Special Cases</w:t>
      </w:r>
    </w:p>
    <w:p w:rsidR="00000000" w:rsidDel="00000000" w:rsidP="00000000" w:rsidRDefault="00000000" w:rsidRPr="00000000">
      <w:pPr>
        <w:pStyle w:val="Heading2"/>
        <w:contextualSpacing w:val="0"/>
        <w:rPr/>
      </w:pPr>
      <w:bookmarkStart w:colFirst="0" w:colLast="0" w:name="_kgt1j83ip1am" w:id="4"/>
      <w:bookmarkEnd w:id="4"/>
      <w:r w:rsidDel="00000000" w:rsidR="00000000" w:rsidRPr="00000000">
        <w:rPr>
          <w:rtl w:val="0"/>
        </w:rPr>
        <w:t xml:space="preserve">3.1 Experiments on Cell Lines and Single Cell Organisms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three-tier-model of sample source, tissue and analyte preparation leads to some ambiguous solutions concerning the handling of single cell organisms and cell lines.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single cell organisms like bacteria, that can be selected, a “tissue” has to be chosen at the second level. Here, selecting “</w:t>
      </w:r>
      <w:r w:rsidDel="00000000" w:rsidR="00000000" w:rsidRPr="00000000">
        <w:rPr>
          <w:b w:val="1"/>
          <w:rtl w:val="0"/>
        </w:rPr>
        <w:t xml:space="preserve">Full Organism</w:t>
      </w:r>
      <w:r w:rsidDel="00000000" w:rsidR="00000000" w:rsidRPr="00000000">
        <w:rPr>
          <w:rtl w:val="0"/>
        </w:rPr>
        <w:t xml:space="preserve">” is common. When selecting the option “</w:t>
      </w:r>
      <w:r w:rsidDel="00000000" w:rsidR="00000000" w:rsidRPr="00000000">
        <w:rPr>
          <w:b w:val="1"/>
          <w:rtl w:val="0"/>
        </w:rPr>
        <w:t xml:space="preserve">Other</w:t>
      </w:r>
      <w:r w:rsidDel="00000000" w:rsidR="00000000" w:rsidRPr="00000000">
        <w:rPr>
          <w:rtl w:val="0"/>
        </w:rPr>
        <w:t xml:space="preserve">”, something else can be specified.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it can be argued that the genetic makeup of some (cancer) cell lines makes them unique organisms themselves, qWizard models </w:t>
      </w:r>
      <w:r w:rsidDel="00000000" w:rsidR="00000000" w:rsidRPr="00000000">
        <w:rPr>
          <w:b w:val="1"/>
          <w:rtl w:val="0"/>
        </w:rPr>
        <w:t xml:space="preserve">cell lines on the level of Tissue Extracts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means that an organism has to be chosen in the first step. This can either be the origin of the cell line, e.g. </w:t>
      </w:r>
      <w:r w:rsidDel="00000000" w:rsidR="00000000" w:rsidRPr="00000000">
        <w:rPr>
          <w:b w:val="1"/>
          <w:rtl w:val="0"/>
        </w:rPr>
        <w:t xml:space="preserve">Homo sapiens</w:t>
      </w:r>
      <w:r w:rsidDel="00000000" w:rsidR="00000000" w:rsidRPr="00000000">
        <w:rPr>
          <w:rtl w:val="0"/>
        </w:rPr>
        <w:t xml:space="preserve"> for HeLa cells, or </w:t>
      </w:r>
      <w:r w:rsidDel="00000000" w:rsidR="00000000" w:rsidRPr="00000000">
        <w:rPr>
          <w:rtl w:val="0"/>
        </w:rPr>
        <w:t xml:space="preserve">“</w:t>
      </w:r>
      <w:r w:rsidDel="00000000" w:rsidR="00000000" w:rsidRPr="00000000">
        <w:rPr>
          <w:b w:val="1"/>
          <w:rtl w:val="0"/>
        </w:rPr>
        <w:t xml:space="preserve">Unidentified</w:t>
      </w:r>
      <w:r w:rsidDel="00000000" w:rsidR="00000000" w:rsidRPr="00000000">
        <w:rPr>
          <w:rtl w:val="0"/>
        </w:rPr>
        <w:t xml:space="preserve">” if no further information is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selecting </w:t>
      </w:r>
      <w:r w:rsidDel="00000000" w:rsidR="00000000" w:rsidRPr="00000000">
        <w:rPr>
          <w:b w:val="1"/>
          <w:rtl w:val="0"/>
        </w:rPr>
        <w:t xml:space="preserve">Cell Line </w:t>
      </w:r>
      <w:r w:rsidDel="00000000" w:rsidR="00000000" w:rsidRPr="00000000">
        <w:rPr>
          <w:rtl w:val="0"/>
        </w:rPr>
        <w:t xml:space="preserve">from the drop-down menu in the </w:t>
      </w:r>
      <w:r w:rsidDel="00000000" w:rsidR="00000000" w:rsidRPr="00000000">
        <w:rPr>
          <w:b w:val="1"/>
          <w:rtl w:val="0"/>
        </w:rPr>
        <w:t xml:space="preserve">Sample Extraction</w:t>
      </w:r>
      <w:r w:rsidDel="00000000" w:rsidR="00000000" w:rsidRPr="00000000">
        <w:rPr>
          <w:rtl w:val="0"/>
        </w:rPr>
        <w:t xml:space="preserve"> step, a cell line can be specified:</w:t>
      </w:r>
    </w:p>
    <w:p w:rsidR="00000000" w:rsidDel="00000000" w:rsidP="00000000" w:rsidRDefault="00000000" w:rsidRPr="00000000">
      <w:pPr>
        <w:contextualSpacing w:val="0"/>
        <w:rPr/>
      </w:pPr>
      <w:r w:rsidDel="00000000" w:rsidR="00000000" w:rsidRPr="00000000">
        <w:rPr/>
        <w:drawing>
          <wp:inline distB="114300" distT="114300" distL="114300" distR="114300">
            <wp:extent cx="4776788" cy="4669537"/>
            <wp:effectExtent b="0" l="0" r="0" t="0"/>
            <wp:docPr id="14"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4776788" cy="46695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Multiple different cell lines can be used in the same experiment by selecting the </w:t>
      </w:r>
      <w:r w:rsidDel="00000000" w:rsidR="00000000" w:rsidRPr="00000000">
        <w:rPr>
          <w:b w:val="1"/>
          <w:rtl w:val="0"/>
        </w:rPr>
        <w:t xml:space="preserve">Experimental Variable “Tissue”:</w:t>
      </w:r>
    </w:p>
    <w:p w:rsidR="00000000" w:rsidDel="00000000" w:rsidP="00000000" w:rsidRDefault="00000000" w:rsidRPr="00000000">
      <w:pPr>
        <w:contextualSpacing w:val="0"/>
        <w:rPr/>
      </w:pPr>
      <w:r w:rsidDel="00000000" w:rsidR="00000000" w:rsidRPr="00000000">
        <w:rPr/>
        <w:drawing>
          <wp:inline distB="114300" distT="114300" distL="114300" distR="114300">
            <wp:extent cx="1737973" cy="3433763"/>
            <wp:effectExtent b="0" l="0" r="0" t="0"/>
            <wp:docPr id="24"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1737973" cy="34337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ix2emqycskr1" w:id="5"/>
      <w:bookmarkEnd w:id="5"/>
      <w:r w:rsidDel="00000000" w:rsidR="00000000" w:rsidRPr="00000000">
        <w:rPr>
          <w:rtl w:val="0"/>
        </w:rPr>
        <w:t xml:space="preserve">3.2 Multiple Levels of Exp. Factors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Complex experiments may not only examine a single experimental factor (with several test conditions) but the interplay of factors like genotype, treatment and different time points after the treatment. qWizard always multiplies factors within and between different levels of the experiment, creating all possible permutations of these attributes as a sample (or multiple samples, depending on the number of chosen replicates). Users can then fine-tune the numbers of the different sample types in their experiment.</w:t>
      </w:r>
    </w:p>
    <w:p w:rsidR="00000000" w:rsidDel="00000000" w:rsidP="00000000" w:rsidRDefault="00000000" w:rsidRPr="00000000">
      <w:pPr>
        <w:contextualSpacing w:val="0"/>
        <w:rPr/>
      </w:pPr>
      <w:r w:rsidDel="00000000" w:rsidR="00000000" w:rsidRPr="00000000">
        <w:rPr>
          <w:rtl w:val="0"/>
        </w:rPr>
        <w:t xml:space="preserve">For this to work, however, care has to be taken to input the conditions at their respective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example, 6 mice are analyzed. They differ in genotypes (</w:t>
      </w:r>
      <w:r w:rsidDel="00000000" w:rsidR="00000000" w:rsidRPr="00000000">
        <w:rPr>
          <w:b w:val="1"/>
          <w:rtl w:val="0"/>
        </w:rPr>
        <w:t xml:space="preserve">3 WT and 3 KO</w:t>
      </w:r>
      <w:r w:rsidDel="00000000" w:rsidR="00000000" w:rsidRPr="00000000">
        <w:rPr>
          <w:rtl w:val="0"/>
        </w:rPr>
        <w:t xml:space="preserve">) and phenotypes (</w:t>
      </w:r>
      <w:r w:rsidDel="00000000" w:rsidR="00000000" w:rsidRPr="00000000">
        <w:rPr>
          <w:b w:val="1"/>
          <w:rtl w:val="0"/>
        </w:rPr>
        <w:t xml:space="preserve">2 affected and 4 control</w:t>
      </w:r>
      <w:r w:rsidDel="00000000" w:rsidR="00000000" w:rsidRPr="00000000">
        <w:rPr>
          <w:rtl w:val="0"/>
        </w:rPr>
        <w:t xml:space="preserve">) Furthermore, two different extracts (</w:t>
      </w:r>
      <w:r w:rsidDel="00000000" w:rsidR="00000000" w:rsidRPr="00000000">
        <w:rPr>
          <w:b w:val="1"/>
          <w:rtl w:val="0"/>
        </w:rPr>
        <w:t xml:space="preserve">blood and lymph - one for each mouse</w:t>
      </w:r>
      <w:r w:rsidDel="00000000" w:rsidR="00000000" w:rsidRPr="00000000">
        <w:rPr>
          <w:rtl w:val="0"/>
        </w:rPr>
        <w:t xml:space="preserve">) are sampled.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adding the general information about the project (see Chapter 2), we select the two experimental variables concerning our mice in the </w:t>
      </w:r>
      <w:r w:rsidDel="00000000" w:rsidR="00000000" w:rsidRPr="00000000">
        <w:rPr>
          <w:b w:val="1"/>
          <w:rtl w:val="0"/>
        </w:rPr>
        <w:t xml:space="preserve">Sample Sources</w:t>
      </w:r>
      <w:r w:rsidDel="00000000" w:rsidR="00000000" w:rsidRPr="00000000">
        <w:rPr>
          <w:rtl w:val="0"/>
        </w:rPr>
        <w:t xml:space="preserve"> step. We choose to leave the number of replicates at 1 and to fine-tune this information in the following step.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25586" cy="4691063"/>
            <wp:effectExtent b="0" l="0" r="0" t="0"/>
            <wp:docPr id="26"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4125586" cy="4691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selecting genotype and phenotype, the next step asks for the different </w:t>
      </w:r>
      <w:r w:rsidDel="00000000" w:rsidR="00000000" w:rsidRPr="00000000">
        <w:rPr>
          <w:b w:val="1"/>
          <w:rtl w:val="0"/>
        </w:rPr>
        <w:t xml:space="preserve">test conditions</w:t>
      </w:r>
      <w:r w:rsidDel="00000000" w:rsidR="00000000" w:rsidRPr="00000000">
        <w:rPr>
          <w:rtl w:val="0"/>
        </w:rPr>
        <w:t xml:space="preserve"> of the two types of experimental variable. We add </w:t>
      </w:r>
      <w:r w:rsidDel="00000000" w:rsidR="00000000" w:rsidRPr="00000000">
        <w:rPr>
          <w:b w:val="1"/>
          <w:rtl w:val="0"/>
        </w:rPr>
        <w:t xml:space="preserve">affected</w:t>
      </w:r>
      <w:r w:rsidDel="00000000" w:rsidR="00000000" w:rsidRPr="00000000">
        <w:rPr>
          <w:rtl w:val="0"/>
        </w:rPr>
        <w:t xml:space="preserve"> and </w:t>
      </w:r>
      <w:r w:rsidDel="00000000" w:rsidR="00000000" w:rsidRPr="00000000">
        <w:rPr>
          <w:b w:val="1"/>
          <w:rtl w:val="0"/>
        </w:rPr>
        <w:t xml:space="preserve">control</w:t>
      </w:r>
      <w:r w:rsidDel="00000000" w:rsidR="00000000" w:rsidRPr="00000000">
        <w:rPr>
          <w:rtl w:val="0"/>
        </w:rPr>
        <w:t xml:space="preserve">, as well as </w:t>
      </w:r>
      <w:r w:rsidDel="00000000" w:rsidR="00000000" w:rsidRPr="00000000">
        <w:rPr>
          <w:b w:val="1"/>
          <w:rtl w:val="0"/>
        </w:rPr>
        <w:t xml:space="preserve">WT</w:t>
      </w:r>
      <w:r w:rsidDel="00000000" w:rsidR="00000000" w:rsidRPr="00000000">
        <w:rPr>
          <w:rtl w:val="0"/>
        </w:rPr>
        <w:t xml:space="preserve"> (wild type) and </w:t>
      </w:r>
      <w:r w:rsidDel="00000000" w:rsidR="00000000" w:rsidRPr="00000000">
        <w:rPr>
          <w:b w:val="1"/>
          <w:rtl w:val="0"/>
        </w:rPr>
        <w:t xml:space="preserve">KO</w:t>
      </w:r>
      <w:r w:rsidDel="00000000" w:rsidR="00000000" w:rsidRPr="00000000">
        <w:rPr>
          <w:rtl w:val="0"/>
        </w:rPr>
        <w:t xml:space="preserve"> (knock out).</w:t>
      </w:r>
    </w:p>
    <w:p w:rsidR="00000000" w:rsidDel="00000000" w:rsidP="00000000" w:rsidRDefault="00000000" w:rsidRPr="00000000">
      <w:pPr>
        <w:contextualSpacing w:val="0"/>
        <w:rPr/>
      </w:pPr>
      <w:r w:rsidDel="00000000" w:rsidR="00000000" w:rsidRPr="00000000">
        <w:rPr/>
        <w:drawing>
          <wp:inline distB="114300" distT="114300" distL="114300" distR="114300">
            <wp:extent cx="2605088" cy="2605088"/>
            <wp:effectExtent b="0" l="0" r="0" t="0"/>
            <wp:docPr id="8"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605088" cy="2605088"/>
                    </a:xfrm>
                    <a:prstGeom prst="rect"/>
                    <a:ln/>
                  </pic:spPr>
                </pic:pic>
              </a:graphicData>
            </a:graphic>
          </wp:inline>
        </w:drawing>
      </w:r>
      <w:r w:rsidDel="00000000" w:rsidR="00000000" w:rsidRPr="00000000">
        <w:rPr/>
        <w:drawing>
          <wp:inline distB="114300" distT="114300" distL="114300" distR="114300">
            <wp:extent cx="2970007" cy="4500563"/>
            <wp:effectExtent b="0" l="0" r="0" t="0"/>
            <wp:docPr id="9"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2970007" cy="4500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resulting preview of all combinations represents four different types of mice: </w:t>
      </w:r>
      <w:r w:rsidDel="00000000" w:rsidR="00000000" w:rsidRPr="00000000">
        <w:rPr>
          <w:b w:val="1"/>
          <w:rtl w:val="0"/>
        </w:rPr>
        <w:t xml:space="preserve">affected+WT; affected+KO; control+WT and control+KO.</w:t>
      </w:r>
    </w:p>
    <w:p w:rsidR="00000000" w:rsidDel="00000000" w:rsidP="00000000" w:rsidRDefault="00000000" w:rsidRPr="00000000">
      <w:pPr>
        <w:contextualSpacing w:val="0"/>
        <w:rPr/>
      </w:pPr>
      <w:r w:rsidDel="00000000" w:rsidR="00000000" w:rsidRPr="00000000">
        <w:rPr>
          <w:rtl w:val="0"/>
        </w:rPr>
        <w:t xml:space="preserve">Since we chose only one replicate in the previous step, qWizard assumes that the experiment contains one mouse of each type.</w:t>
      </w:r>
    </w:p>
    <w:p w:rsidR="00000000" w:rsidDel="00000000" w:rsidP="00000000" w:rsidRDefault="00000000" w:rsidRPr="00000000">
      <w:pPr>
        <w:contextualSpacing w:val="0"/>
        <w:rPr/>
      </w:pPr>
      <w:r w:rsidDel="00000000" w:rsidR="00000000" w:rsidRPr="00000000">
        <w:rPr>
          <w:rtl w:val="0"/>
        </w:rPr>
        <w:t xml:space="preserve">However, since we have two control mice of each genotype, we change the number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133725" cy="226695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133725"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following step we see the six mice in our experiment. We can rename the </w:t>
      </w:r>
      <w:r w:rsidDel="00000000" w:rsidR="00000000" w:rsidRPr="00000000">
        <w:rPr>
          <w:b w:val="1"/>
          <w:rtl w:val="0"/>
        </w:rPr>
        <w:t xml:space="preserve">Secondary Name</w:t>
      </w:r>
      <w:r w:rsidDel="00000000" w:rsidR="00000000" w:rsidRPr="00000000">
        <w:rPr>
          <w:rtl w:val="0"/>
        </w:rPr>
        <w:t xml:space="preserve">, which automatically contains an overview of all experimental factors or we can add Lab IDs (in this case just “mouse 1” etc.). Both of these infos are used in many other parts of qPortal to make it easier to identify samples or sample sources.</w:t>
      </w:r>
    </w:p>
    <w:p w:rsidR="00000000" w:rsidDel="00000000" w:rsidP="00000000" w:rsidRDefault="00000000" w:rsidRPr="00000000">
      <w:pPr>
        <w:contextualSpacing w:val="0"/>
        <w:rPr/>
      </w:pPr>
      <w:r w:rsidDel="00000000" w:rsidR="00000000" w:rsidRPr="00000000">
        <w:rPr>
          <w:rtl w:val="0"/>
        </w:rPr>
        <w:t xml:space="preserve">Experimental Factors are saved after sample registration, even if we change the names of our sources/samples.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619500"/>
            <wp:effectExtent b="0" l="0" r="0" t="0"/>
            <wp:docPr id="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Since we only input information about our lab animals up to this point, we still need to specify which samples are taken from them. This happens in the next step: </w:t>
      </w:r>
      <w:r w:rsidDel="00000000" w:rsidR="00000000" w:rsidRPr="00000000">
        <w:rPr>
          <w:b w:val="1"/>
          <w:rtl w:val="0"/>
        </w:rPr>
        <w:t xml:space="preserve">Sample Extracts.</w:t>
      </w:r>
    </w:p>
    <w:p w:rsidR="00000000" w:rsidDel="00000000" w:rsidP="00000000" w:rsidRDefault="00000000" w:rsidRPr="00000000">
      <w:pPr>
        <w:contextualSpacing w:val="0"/>
        <w:rPr/>
      </w:pPr>
      <w:r w:rsidDel="00000000" w:rsidR="00000000" w:rsidRPr="00000000">
        <w:rPr>
          <w:rtl w:val="0"/>
        </w:rPr>
        <w:t xml:space="preserve">Since we want to extract </w:t>
      </w:r>
      <w:r w:rsidDel="00000000" w:rsidR="00000000" w:rsidRPr="00000000">
        <w:rPr>
          <w:b w:val="1"/>
          <w:rtl w:val="0"/>
        </w:rPr>
        <w:t xml:space="preserve">blood</w:t>
      </w:r>
      <w:r w:rsidDel="00000000" w:rsidR="00000000" w:rsidRPr="00000000">
        <w:rPr>
          <w:rtl w:val="0"/>
        </w:rPr>
        <w:t xml:space="preserve"> as well as </w:t>
      </w:r>
      <w:r w:rsidDel="00000000" w:rsidR="00000000" w:rsidRPr="00000000">
        <w:rPr>
          <w:b w:val="1"/>
          <w:rtl w:val="0"/>
        </w:rPr>
        <w:t xml:space="preserve">lymph</w:t>
      </w:r>
      <w:r w:rsidDel="00000000" w:rsidR="00000000" w:rsidRPr="00000000">
        <w:rPr>
          <w:rtl w:val="0"/>
        </w:rPr>
        <w:t xml:space="preserve">, we chose </w:t>
      </w:r>
      <w:r w:rsidDel="00000000" w:rsidR="00000000" w:rsidRPr="00000000">
        <w:rPr>
          <w:b w:val="1"/>
          <w:rtl w:val="0"/>
        </w:rPr>
        <w:t xml:space="preserve">Tissue </w:t>
      </w:r>
      <w:r w:rsidDel="00000000" w:rsidR="00000000" w:rsidRPr="00000000">
        <w:rPr>
          <w:rtl w:val="0"/>
        </w:rPr>
        <w:t xml:space="preserve">as an experimental variable and set the number of tissue types to 2. Again, we leave the number of extracted replicates at 1 for simplicity’s sake:</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4952809" cy="5748338"/>
            <wp:effectExtent b="0" l="0" r="0" t="0"/>
            <wp:docPr id="27"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4952809" cy="5748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step allows us to choose the different “tissue types”, in this case </w:t>
      </w:r>
      <w:r w:rsidDel="00000000" w:rsidR="00000000" w:rsidRPr="00000000">
        <w:rPr>
          <w:b w:val="1"/>
          <w:rtl w:val="0"/>
        </w:rPr>
        <w:t xml:space="preserve">Whole Blood</w:t>
      </w:r>
      <w:r w:rsidDel="00000000" w:rsidR="00000000" w:rsidRPr="00000000">
        <w:rPr>
          <w:rtl w:val="0"/>
        </w:rPr>
        <w:t xml:space="preserve"> and </w:t>
      </w:r>
      <w:r w:rsidDel="00000000" w:rsidR="00000000" w:rsidRPr="00000000">
        <w:rPr>
          <w:b w:val="1"/>
          <w:rtl w:val="0"/>
        </w:rPr>
        <w:t xml:space="preserve">Lymph</w:t>
      </w:r>
      <w:r w:rsidDel="00000000" w:rsidR="00000000" w:rsidRPr="00000000">
        <w:rPr>
          <w:rtl w:val="0"/>
        </w:rPr>
        <w:t xml:space="preserve"> from a pre-defined vocabulary. Like in the case of different mice, we see the resulting samples below once we have made our choice. In this case, taking one blood and one lymph sample from each of our six mice leads to 12 extract samples: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90413" cy="6472238"/>
            <wp:effectExtent b="0" l="0" r="0" t="0"/>
            <wp:docPr id="15"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4190413" cy="6472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selection of Analyte (and no technical replicates), this leads to the following result which we can register in the system or send in for QBiC review:</w:t>
      </w:r>
    </w:p>
    <w:p w:rsidR="00000000" w:rsidDel="00000000" w:rsidP="00000000" w:rsidRDefault="00000000" w:rsidRPr="00000000">
      <w:pPr>
        <w:contextualSpacing w:val="0"/>
        <w:rPr/>
      </w:pPr>
      <w:r w:rsidDel="00000000" w:rsidR="00000000" w:rsidRPr="00000000">
        <w:rPr/>
        <w:drawing>
          <wp:inline distB="114300" distT="114300" distL="114300" distR="114300">
            <wp:extent cx="4467225" cy="5400675"/>
            <wp:effectExtent b="0" l="0" r="0" t="0"/>
            <wp:docPr id="7"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4467225" cy="540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Batch Upload functionality (see Chapter 4) automatically recognizes to which tier of the experiment an experimental factor should belong. E.g. if two conditions of the same specified factor are different for the same mouse, then this condition can not be related to the mouse (like, for example, a genotype), but has to belong to different tissue extracts or analytes, like a time point of extraction.</w:t>
      </w:r>
    </w:p>
    <w:p w:rsidR="00000000" w:rsidDel="00000000" w:rsidP="00000000" w:rsidRDefault="00000000" w:rsidRPr="00000000">
      <w:pPr>
        <w:pStyle w:val="Heading1"/>
        <w:contextualSpacing w:val="0"/>
        <w:rPr/>
      </w:pPr>
      <w:bookmarkStart w:colFirst="0" w:colLast="0" w:name="_lgis49nwfatk" w:id="6"/>
      <w:bookmarkEnd w:id="6"/>
      <w:r w:rsidDel="00000000" w:rsidR="00000000" w:rsidRPr="00000000">
        <w:rPr>
          <w:rtl w:val="0"/>
        </w:rPr>
        <w:t xml:space="preserve">4. Batch Upload of Samples</w:t>
      </w:r>
    </w:p>
    <w:p w:rsidR="00000000" w:rsidDel="00000000" w:rsidP="00000000" w:rsidRDefault="00000000" w:rsidRPr="00000000">
      <w:pPr>
        <w:contextualSpacing w:val="0"/>
        <w:rPr/>
      </w:pPr>
      <w:r w:rsidDel="00000000" w:rsidR="00000000" w:rsidRPr="00000000">
        <w:rPr>
          <w:rtl w:val="0"/>
        </w:rPr>
        <w:t xml:space="preserve">Creating large experiments with many samples and rich metadata by hand can sometimes be a hassle. To simplify and speed up this process, we have created several spreadsheet file formats that can be used to directly upload experiments or update the metadata of existing experiments afterwards (see Chapter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zf0c8y59i44" w:id="7"/>
      <w:bookmarkEnd w:id="7"/>
      <w:r w:rsidDel="00000000" w:rsidR="00000000" w:rsidRPr="00000000">
        <w:rPr>
          <w:rtl w:val="0"/>
        </w:rPr>
        <w:t xml:space="preserve">4.1 General Format</w:t>
      </w:r>
    </w:p>
    <w:p w:rsidR="00000000" w:rsidDel="00000000" w:rsidP="00000000" w:rsidRDefault="00000000" w:rsidRPr="00000000">
      <w:pPr>
        <w:contextualSpacing w:val="0"/>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Columns are tab-separated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quotation marks or additional tabs should be used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Order of columns can be random</w:t>
        <w:tab/>
        <w:tab/>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 xml:space="preserve">All Batch Upload files must contain the basic information about Sample Sources, Tissues and Analytes (explained in Chapters 1 and 2) as well as label the different entities of each of these levels with unique 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470"/>
        <w:gridCol w:w="1545"/>
        <w:gridCol w:w="1185"/>
        <w:gridCol w:w="1020"/>
        <w:gridCol w:w="2175"/>
        <w:tblGridChange w:id="0">
          <w:tblGrid>
            <w:gridCol w:w="1620"/>
            <w:gridCol w:w="1470"/>
            <w:gridCol w:w="1545"/>
            <w:gridCol w:w="1185"/>
            <w:gridCol w:w="1020"/>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Organism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Organism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Tissue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Extract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Analyte 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R3001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R3002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R3003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example experiments, blood samples from 3 mice are taken and RNA is extracted. Since each sample and each mouse is unique, all the identifiers (on all three levels) are unique as well.</w:t>
      </w:r>
    </w:p>
    <w:p w:rsidR="00000000" w:rsidDel="00000000" w:rsidP="00000000" w:rsidRDefault="00000000" w:rsidRPr="00000000">
      <w:pPr>
        <w:contextualSpacing w:val="0"/>
        <w:rPr/>
      </w:pPr>
      <w:r w:rsidDel="00000000" w:rsidR="00000000" w:rsidRPr="00000000">
        <w:rPr>
          <w:rtl w:val="0"/>
        </w:rPr>
        <w:t xml:space="preserve">To illustrate how </w:t>
      </w:r>
      <w:r w:rsidDel="00000000" w:rsidR="00000000" w:rsidRPr="00000000">
        <w:rPr>
          <w:b w:val="1"/>
          <w:rtl w:val="0"/>
        </w:rPr>
        <w:t xml:space="preserve">replicates</w:t>
      </w:r>
      <w:r w:rsidDel="00000000" w:rsidR="00000000" w:rsidRPr="00000000">
        <w:rPr>
          <w:rtl w:val="0"/>
        </w:rPr>
        <w:t xml:space="preserve"> are handled, we will add two additional RNA measurements: one further blood sample (B2-2) taken from the second mouse (m2), as well as one taken from the existing blood sample (B3-1):</w:t>
      </w:r>
    </w:p>
    <w:p w:rsidR="00000000" w:rsidDel="00000000" w:rsidP="00000000" w:rsidRDefault="00000000" w:rsidRPr="00000000">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470"/>
        <w:gridCol w:w="1545"/>
        <w:gridCol w:w="1185"/>
        <w:gridCol w:w="1020"/>
        <w:gridCol w:w="2175"/>
        <w:tblGridChange w:id="0">
          <w:tblGrid>
            <w:gridCol w:w="1620"/>
            <w:gridCol w:w="1470"/>
            <w:gridCol w:w="1545"/>
            <w:gridCol w:w="1185"/>
            <w:gridCol w:w="1020"/>
            <w:gridCol w:w="2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Organism    </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Organism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Tissue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Extract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Analyte 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 musculus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 Blood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R3013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Keep in mind, that these identifiers are just examples. In reality, they can be based on lab-internal labeling, as long as they are unique for different 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sx29rag8bsc" w:id="8"/>
      <w:bookmarkEnd w:id="8"/>
      <w:r w:rsidDel="00000000" w:rsidR="00000000" w:rsidRPr="00000000">
        <w:rPr>
          <w:rtl w:val="0"/>
        </w:rPr>
        <w:t xml:space="preserve">4.2 Adding additional meta-information</w:t>
      </w:r>
    </w:p>
    <w:p w:rsidR="00000000" w:rsidDel="00000000" w:rsidP="00000000" w:rsidRDefault="00000000" w:rsidRPr="00000000">
      <w:pPr>
        <w:contextualSpacing w:val="0"/>
        <w:rPr/>
      </w:pPr>
      <w:r w:rsidDel="00000000" w:rsidR="00000000" w:rsidRPr="00000000">
        <w:rPr>
          <w:rtl w:val="0"/>
        </w:rPr>
        <w:t xml:space="preserve">Experimental factors (and other properties TODO) can be added in additional columns:</w:t>
      </w:r>
    </w:p>
    <w:p w:rsidR="00000000" w:rsidDel="00000000" w:rsidP="00000000" w:rsidRDefault="00000000" w:rsidRPr="00000000">
      <w:pPr>
        <w:contextualSpacing w:val="0"/>
        <w:rPr/>
      </w:pPr>
      <w:r w:rsidDel="00000000" w:rsidR="00000000" w:rsidRPr="00000000">
        <w:rPr>
          <w:rtl w:val="0"/>
        </w:rPr>
      </w:r>
    </w:p>
    <w:tbl>
      <w:tblPr>
        <w:tblStyle w:val="Table3"/>
        <w:tblW w:w="9023.29787234042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30"/>
        <w:gridCol w:w="1245"/>
        <w:gridCol w:w="1560"/>
        <w:gridCol w:w="1729.148936170213"/>
        <w:gridCol w:w="1729.148936170213"/>
        <w:tblGridChange w:id="0">
          <w:tblGrid>
            <w:gridCol w:w="1530"/>
            <w:gridCol w:w="1230"/>
            <w:gridCol w:w="1245"/>
            <w:gridCol w:w="1560"/>
            <w:gridCol w:w="1729.148936170213"/>
            <w:gridCol w:w="1729.1489361702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Organism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Extract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Condition: genotype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Condition: extraction_time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Condition: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B3-1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example, the conditions genotype (on Organism level), extraction time (of the blood, Extract level) and protocol of RNA preparation was added: Mice m1 and m2 have a certain allele, while m3 is a knockout; all blood samples but B2-2 were taken at the same time and the last two RNA measurements were performed using a new protocol (“b”).</w:t>
      </w:r>
    </w:p>
    <w:p w:rsidR="00000000" w:rsidDel="00000000" w:rsidP="00000000" w:rsidRDefault="00000000" w:rsidRPr="00000000">
      <w:pPr>
        <w:contextualSpacing w:val="0"/>
        <w:rPr/>
      </w:pPr>
      <w:r w:rsidDel="00000000" w:rsidR="00000000" w:rsidRPr="00000000">
        <w:rPr>
          <w:rtl w:val="0"/>
        </w:rPr>
        <w:t xml:space="preserve">Organism, Tissue and Analyte columns have been removed from this example for the sake of clarity.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keep the basic upload format simple, additional properties can be added with the Metadata Upload functionality (see Chapter 5).</w:t>
      </w:r>
    </w:p>
    <w:p w:rsidR="00000000" w:rsidDel="00000000" w:rsidP="00000000" w:rsidRDefault="00000000" w:rsidRPr="00000000">
      <w:pPr>
        <w:pStyle w:val="Heading2"/>
        <w:contextualSpacing w:val="0"/>
        <w:rPr/>
      </w:pPr>
      <w:bookmarkStart w:colFirst="0" w:colLast="0" w:name="_8llb2nlml94f" w:id="9"/>
      <w:bookmarkEnd w:id="9"/>
      <w:r w:rsidDel="00000000" w:rsidR="00000000" w:rsidRPr="00000000">
        <w:rPr>
          <w:rtl w:val="0"/>
        </w:rPr>
        <w:t xml:space="preserve">4.3 Upload of the Experiment</w:t>
      </w:r>
    </w:p>
    <w:p w:rsidR="00000000" w:rsidDel="00000000" w:rsidP="00000000" w:rsidRDefault="00000000" w:rsidRPr="00000000">
      <w:pPr>
        <w:contextualSpacing w:val="0"/>
        <w:rPr/>
      </w:pPr>
      <w:r w:rsidDel="00000000" w:rsidR="00000000" w:rsidRPr="00000000">
        <w:rPr>
          <w:rtl w:val="0"/>
        </w:rPr>
        <w:t xml:space="preserve">The upload functionality can be found as part of the Project Creator on qPortal’s Project Management Section:</w:t>
      </w:r>
    </w:p>
    <w:p w:rsidR="00000000" w:rsidDel="00000000" w:rsidP="00000000" w:rsidRDefault="00000000" w:rsidRPr="00000000">
      <w:pPr>
        <w:contextualSpacing w:val="0"/>
        <w:rPr/>
      </w:pPr>
      <w:r w:rsidDel="00000000" w:rsidR="00000000" w:rsidRPr="00000000">
        <w:rPr/>
        <w:drawing>
          <wp:inline distB="114300" distT="114300" distL="114300" distR="114300">
            <wp:extent cx="4657725" cy="4791075"/>
            <wp:effectExtent b="0" l="0" r="0" t="0"/>
            <wp:docPr id="22" name="image53.png"/>
            <a:graphic>
              <a:graphicData uri="http://schemas.openxmlformats.org/drawingml/2006/picture">
                <pic:pic>
                  <pic:nvPicPr>
                    <pic:cNvPr id="0" name="image53.png"/>
                    <pic:cNvPicPr preferRelativeResize="0"/>
                  </pic:nvPicPr>
                  <pic:blipFill>
                    <a:blip r:embed="rId26"/>
                    <a:srcRect b="0" l="0" r="0" t="0"/>
                    <a:stretch>
                      <a:fillRect/>
                    </a:stretch>
                  </pic:blipFill>
                  <pic:spPr>
                    <a:xfrm>
                      <a:off x="0" y="0"/>
                      <a:ext cx="4657725" cy="479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register your experiments follow these steps: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TSV file using the information above or the example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Select “Import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Select “Standard” and upload the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Select Project and Sub-project and complete other missing information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Register experiments, a download link is created containing one barcode per row of the uploaded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Download file use the first two columns to add the QBiC barcode to each file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Transfer the files (more information about this can be found…)</w:t>
      </w:r>
    </w:p>
    <w:p w:rsidR="00000000" w:rsidDel="00000000" w:rsidP="00000000" w:rsidRDefault="00000000" w:rsidRPr="00000000">
      <w:pPr>
        <w:pStyle w:val="Heading2"/>
        <w:contextualSpacing w:val="0"/>
        <w:rPr/>
      </w:pPr>
      <w:bookmarkStart w:colFirst="0" w:colLast="0" w:name="_3jk09gntlcni" w:id="10"/>
      <w:bookmarkEnd w:id="10"/>
      <w:r w:rsidDel="00000000" w:rsidR="00000000" w:rsidRPr="00000000">
        <w:rPr>
          <w:rtl w:val="0"/>
        </w:rPr>
        <w:t xml:space="preserve">4.4 Immunomics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Coming soon</w:t>
      </w:r>
    </w:p>
    <w:p w:rsidR="00000000" w:rsidDel="00000000" w:rsidP="00000000" w:rsidRDefault="00000000" w:rsidRPr="00000000">
      <w:pPr>
        <w:pStyle w:val="Heading1"/>
        <w:contextualSpacing w:val="0"/>
        <w:rPr/>
      </w:pPr>
      <w:bookmarkStart w:colFirst="0" w:colLast="0" w:name="_dmhd3y4316qv" w:id="11"/>
      <w:bookmarkEnd w:id="11"/>
      <w:r w:rsidDel="00000000" w:rsidR="00000000" w:rsidRPr="00000000">
        <w:rPr>
          <w:rtl w:val="0"/>
        </w:rPr>
        <w:t xml:space="preserve">5. Metadata Upload/Edit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multi-step registration as well as the batch registration formats are kept as simple as possible, qWizard provides an additional option to add or update metadata of existing samples. For this, any type of spreadsheet (tab-separated values) can be uploaded, as long as it contains QBiC sample identifiers in one of the columns.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Sample Identifiers for specific groups of samples can be downloaded from the qNavigator portlet or in a more general form from qWizard itself (after registration or batch upload).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Every user that has access to a project can add new information in this way. However, to change (overwrite) existing information, additonal permissions are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upload information about your samples, go to the “Update Metadata” tab and select “Samples”: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72000" cy="1914525"/>
            <wp:effectExtent b="0" l="0" r="0" t="0"/>
            <wp:docPr id="12"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4572000" cy="1914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an example, we upload a file of our mouse project from Chapter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Analyte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QKUEN005AV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QKUEN006A5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QKUEN007AD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QKUEN008AL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RNA004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QKUEN009AT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R3013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RNA005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using the barcodes we received from the download of our newly created experiment.</w:t>
      </w:r>
    </w:p>
    <w:p w:rsidR="00000000" w:rsidDel="00000000" w:rsidP="00000000" w:rsidRDefault="00000000" w:rsidRPr="00000000">
      <w:pPr>
        <w:contextualSpacing w:val="0"/>
        <w:rPr/>
      </w:pPr>
      <w:r w:rsidDel="00000000" w:rsidR="00000000" w:rsidRPr="00000000">
        <w:rPr>
          <w:rtl w:val="0"/>
        </w:rPr>
        <w:t xml:space="preserve">We would like to add new names for these RNA samples as well as the “RNA Integrity Number” (RIN), that has now been measured in the lab.</w:t>
      </w:r>
    </w:p>
    <w:p w:rsidR="00000000" w:rsidDel="00000000" w:rsidP="00000000" w:rsidRDefault="00000000" w:rsidRPr="00000000">
      <w:pPr>
        <w:contextualSpacing w:val="0"/>
        <w:rPr/>
      </w:pPr>
      <w:r w:rsidDel="00000000" w:rsidR="00000000" w:rsidRPr="00000000">
        <w:rPr>
          <w:rtl w:val="0"/>
        </w:rPr>
        <w:t xml:space="preserve">Notice how the column names in the header are unimportant: matching to a specific property will happen after the upload. (The old “Analyte ID” column is not important either, it was just added for clarity.)</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336800"/>
            <wp:effectExtent b="0" l="0" r="0" t="0"/>
            <wp:docPr id="13"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upload, existing Sample IDs are automatically recognized (blue column). Other information is displayed, but has to be matched to the attribute of choice or ignored: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Since we don’t care about “Analyte ID” (it’s already saved), we select “IGNORE” from the dropdown menu. (We can reverse this choice clicking on “Reset columns”, if it was a mistake.)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 the new column “info1” we select “Secondary Name”.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 the column “RIN” we select “RNA Integrity Number” (we can only do this, since this attribute type is expected for this sample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654300"/>
            <wp:effectExtent b="0" l="0" r="0" t="0"/>
            <wp:docPr id="5"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resulting table, a few things have happened: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“Analyte ID” column was removed like we wanted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“info 1” column is yellow - data would be overwritten, if we save it as “Secondary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“RIN” column is blue - we can savely send this data to the database</w:t>
      </w:r>
    </w:p>
    <w:p w:rsidR="00000000" w:rsidDel="00000000" w:rsidP="00000000" w:rsidRDefault="00000000" w:rsidRPr="00000000">
      <w:pPr>
        <w:contextualSpacing w:val="0"/>
        <w:rPr/>
      </w:pPr>
      <w:r w:rsidDel="00000000" w:rsidR="00000000" w:rsidRPr="00000000">
        <w:rPr>
          <w:rtl w:val="0"/>
        </w:rPr>
        <w:t xml:space="preserve">Since there are not red columns left, we also get a popup summary of the status: there are collisions for all 5 samples.</w:t>
      </w:r>
    </w:p>
    <w:p w:rsidR="00000000" w:rsidDel="00000000" w:rsidP="00000000" w:rsidRDefault="00000000" w:rsidRPr="00000000">
      <w:pPr>
        <w:contextualSpacing w:val="0"/>
        <w:rPr/>
      </w:pPr>
      <w:r w:rsidDel="00000000" w:rsidR="00000000" w:rsidRPr="00000000">
        <w:rPr>
          <w:rtl w:val="0"/>
        </w:rPr>
        <w:t xml:space="preserve">We can either chose a different attribute to save this column (for example: “Additional Information”), overwrite it or change our mind and only upload the values for the RNA Integrity Number for now (IGNORE column).</w:t>
      </w:r>
    </w:p>
    <w:p w:rsidR="00000000" w:rsidDel="00000000" w:rsidP="00000000" w:rsidRDefault="00000000" w:rsidRPr="00000000">
      <w:pPr>
        <w:contextualSpacing w:val="0"/>
        <w:rPr/>
      </w:pPr>
      <w:r w:rsidDel="00000000" w:rsidR="00000000" w:rsidRPr="00000000">
        <w:rPr>
          <w:rtl w:val="0"/>
        </w:rPr>
        <w:t xml:space="preserve">In this case, we choose to save all the data and overwrite the old names by clicking “Send to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209800"/>
            <wp:effectExtent b="0" l="0" r="0" t="0"/>
            <wp:docPr id="30" name="image61.png"/>
            <a:graphic>
              <a:graphicData uri="http://schemas.openxmlformats.org/drawingml/2006/picture">
                <pic:pic>
                  <pic:nvPicPr>
                    <pic:cNvPr id="0" name="image61.png"/>
                    <pic:cNvPicPr preferRelativeResize="0"/>
                  </pic:nvPicPr>
                  <pic:blipFill>
                    <a:blip r:embed="rId30"/>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dyyfcus22zzt" w:id="12"/>
      <w:bookmarkEnd w:id="12"/>
      <w:r w:rsidDel="00000000" w:rsidR="00000000" w:rsidRPr="00000000">
        <w:rPr>
          <w:rtl w:val="0"/>
        </w:rPr>
        <w:t xml:space="preserve">5.1 Special Properties</w:t>
      </w:r>
    </w:p>
    <w:p w:rsidR="00000000" w:rsidDel="00000000" w:rsidP="00000000" w:rsidRDefault="00000000" w:rsidRPr="00000000">
      <w:pPr>
        <w:contextualSpacing w:val="0"/>
        <w:rPr/>
      </w:pPr>
      <w:r w:rsidDel="00000000" w:rsidR="00000000" w:rsidRPr="00000000">
        <w:rPr>
          <w:rtl w:val="0"/>
        </w:rPr>
        <w:t xml:space="preserve">There are a number of different properties that need some more information to 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Experimental Factors/Conditions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described in previous chapters, one main idea of qWizard is to enable creation of factorial experimental designs. While it is best to add experimental factors directly via step-by-step registration or the batch upload, they can also be added or edited via Metadata upload: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QKUEN005AV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QKUEN006A5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QKUEN007AD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QKUEN008AL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QKUEN009AT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case, we want to add the factor “protocol” (see Chapter 4.2) to our RNA samples from before.</w:t>
      </w:r>
    </w:p>
    <w:p w:rsidR="00000000" w:rsidDel="00000000" w:rsidP="00000000" w:rsidRDefault="00000000" w:rsidRPr="00000000">
      <w:pPr>
        <w:contextualSpacing w:val="0"/>
        <w:rPr/>
      </w:pPr>
      <w:r w:rsidDel="00000000" w:rsidR="00000000" w:rsidRPr="00000000">
        <w:rPr>
          <w:rtl w:val="0"/>
        </w:rPr>
        <w:t xml:space="preserve">Similar to before, we upload our file and choose [Experimental Condition] from the dropdown menu:</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120900"/>
            <wp:effectExtent b="0" l="0" r="0" t="0"/>
            <wp:docPr id="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then asked for the name of this factor, as well as a clarification what type of unit (if any) this condition has.</w:t>
      </w:r>
    </w:p>
    <w:p w:rsidR="00000000" w:rsidDel="00000000" w:rsidP="00000000" w:rsidRDefault="00000000" w:rsidRPr="00000000">
      <w:pPr>
        <w:contextualSpacing w:val="0"/>
        <w:rPr/>
      </w:pPr>
      <w:r w:rsidDel="00000000" w:rsidR="00000000" w:rsidRPr="00000000">
        <w:rPr>
          <w:rtl w:val="0"/>
        </w:rPr>
        <w:t xml:space="preserve">After input of the name “protocol” we accept. This time no collisions are found: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895600"/>
            <wp:effectExtent b="0" l="0" r="0" t="0"/>
            <wp:docPr id="23" name="image54.png"/>
            <a:graphic>
              <a:graphicData uri="http://schemas.openxmlformats.org/drawingml/2006/picture">
                <pic:pic>
                  <pic:nvPicPr>
                    <pic:cNvPr id="0" name="image54.png"/>
                    <pic:cNvPicPr preferRelativeResize="0"/>
                  </pic:nvPicPr>
                  <pic:blipFill>
                    <a:blip r:embed="rId32"/>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now send this information to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Experimental Properties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Experimental properties are handled in the exact same way as factors/conditions. The only difference is their importance to the experiment: properties can be used to store information that is not the main focus of the project, but should be saved somewhere.</w:t>
      </w:r>
    </w:p>
    <w:p w:rsidR="00000000" w:rsidDel="00000000" w:rsidP="00000000" w:rsidRDefault="00000000" w:rsidRPr="00000000">
      <w:pPr>
        <w:contextualSpacing w:val="0"/>
        <w:rPr/>
      </w:pPr>
      <w:r w:rsidDel="00000000" w:rsidR="00000000" w:rsidRPr="00000000">
        <w:rPr>
          <w:rtl w:val="0"/>
        </w:rPr>
        <w:t xml:space="preserve">Properties can be added by selecting “[Other Property]” from the dropdown menu.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Species, Tissues and Analytes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species, tissues and analytes are based on a “Controlled Vocabulary” of values, updating them with “free text” can be difficult. qWizard solves this problem by allowing users to choose which value from these vocabularies fits to the uploaded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an example, we want to change the species of one of our aforementioned mice to rat (we always thought it looked kind of strange).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now, we have only made changes to the analyte (RNA) level of our experiment. To change the species, we need the identifiers of the “Sample Source” level. We can for example find this information in the info page of our sub-project in the Project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762500" cy="3371850"/>
            <wp:effectExtent b="0" l="0" r="0" t="0"/>
            <wp:docPr id="25" name="image56.png"/>
            <a:graphic>
              <a:graphicData uri="http://schemas.openxmlformats.org/drawingml/2006/picture">
                <pic:pic>
                  <pic:nvPicPr>
                    <pic:cNvPr id="0" name="image56.png"/>
                    <pic:cNvPicPr preferRelativeResize="0"/>
                  </pic:nvPicPr>
                  <pic:blipFill>
                    <a:blip r:embed="rId33"/>
                    <a:srcRect b="0" l="0" r="0" t="0"/>
                    <a:stretch>
                      <a:fillRect/>
                    </a:stretch>
                  </pic:blipFill>
                  <pic:spPr>
                    <a:xfrm>
                      <a:off x="0" y="0"/>
                      <a:ext cx="4762500" cy="3371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upload the following table:</w:t>
      </w:r>
    </w:p>
    <w:p w:rsidR="00000000" w:rsidDel="00000000" w:rsidP="00000000" w:rsidRDefault="00000000" w:rsidRPr="00000000">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animals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QKUENENTITY-1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QKUENENTITY-2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QKUENENTITY-3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mouse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qWizard recognizes the identifiers as belonging to sample sources of this project. We can now select “NCBI Organism” from the dropdown menu:</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727200"/>
            <wp:effectExtent b="0" l="0" r="0" t="0"/>
            <wp:docPr id="6"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popup asks us to assign the names from the vocabulary for both rat and mouse:</w:t>
      </w:r>
    </w:p>
    <w:p w:rsidR="00000000" w:rsidDel="00000000" w:rsidP="00000000" w:rsidRDefault="00000000" w:rsidRPr="00000000">
      <w:pPr>
        <w:contextualSpacing w:val="0"/>
        <w:rPr/>
      </w:pPr>
      <w:r w:rsidDel="00000000" w:rsidR="00000000" w:rsidRPr="00000000">
        <w:rPr/>
        <w:drawing>
          <wp:inline distB="114300" distT="114300" distL="114300" distR="114300">
            <wp:extent cx="3152775" cy="2781300"/>
            <wp:effectExtent b="0" l="0" r="0" t="0"/>
            <wp:docPr id="28" name="image59.png"/>
            <a:graphic>
              <a:graphicData uri="http://schemas.openxmlformats.org/drawingml/2006/picture">
                <pic:pic>
                  <pic:nvPicPr>
                    <pic:cNvPr id="0" name="image59.png"/>
                    <pic:cNvPicPr preferRelativeResize="0"/>
                  </pic:nvPicPr>
                  <pic:blipFill>
                    <a:blip r:embed="rId35"/>
                    <a:srcRect b="0" l="0" r="0" t="0"/>
                    <a:stretch>
                      <a:fillRect/>
                    </a:stretch>
                  </pic:blipFill>
                  <pic:spPr>
                    <a:xfrm>
                      <a:off x="0" y="0"/>
                      <a:ext cx="3152775"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confirming our selection, we get a 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109913" cy="2787681"/>
            <wp:effectExtent b="0" l="0" r="0" t="0"/>
            <wp:docPr id="21" name="image52.png"/>
            <a:graphic>
              <a:graphicData uri="http://schemas.openxmlformats.org/drawingml/2006/picture">
                <pic:pic>
                  <pic:nvPicPr>
                    <pic:cNvPr id="0" name="image52.png"/>
                    <pic:cNvPicPr preferRelativeResize="0"/>
                  </pic:nvPicPr>
                  <pic:blipFill>
                    <a:blip r:embed="rId36"/>
                    <a:srcRect b="0" l="0" r="0" t="0"/>
                    <a:stretch>
                      <a:fillRect/>
                    </a:stretch>
                  </pic:blipFill>
                  <pic:spPr>
                    <a:xfrm>
                      <a:off x="0" y="0"/>
                      <a:ext cx="3109913" cy="27876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Entity 2 and 3 are already mice, so only Entity 1 needs to be overwritten. We finish the update by clicking “Send to Database”.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0.png"/><Relationship Id="rId22" Type="http://schemas.openxmlformats.org/officeDocument/2006/relationships/image" Target="media/image22.png"/><Relationship Id="rId21" Type="http://schemas.openxmlformats.org/officeDocument/2006/relationships/image" Target="media/image5.png"/><Relationship Id="rId24" Type="http://schemas.openxmlformats.org/officeDocument/2006/relationships/image" Target="media/image46.png"/><Relationship Id="rId23" Type="http://schemas.openxmlformats.org/officeDocument/2006/relationships/image" Target="media/image5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0.png"/><Relationship Id="rId26" Type="http://schemas.openxmlformats.org/officeDocument/2006/relationships/image" Target="media/image53.png"/><Relationship Id="rId25" Type="http://schemas.openxmlformats.org/officeDocument/2006/relationships/image" Target="media/image38.png"/><Relationship Id="rId28" Type="http://schemas.openxmlformats.org/officeDocument/2006/relationships/image" Target="media/image44.png"/><Relationship Id="rId27" Type="http://schemas.openxmlformats.org/officeDocument/2006/relationships/image" Target="media/image43.png"/><Relationship Id="rId5" Type="http://schemas.openxmlformats.org/officeDocument/2006/relationships/styles" Target="styles.xml"/><Relationship Id="rId6" Type="http://schemas.openxmlformats.org/officeDocument/2006/relationships/image" Target="media/image62.png"/><Relationship Id="rId29" Type="http://schemas.openxmlformats.org/officeDocument/2006/relationships/image" Target="media/image36.png"/><Relationship Id="rId7" Type="http://schemas.openxmlformats.org/officeDocument/2006/relationships/image" Target="media/image41.png"/><Relationship Id="rId8" Type="http://schemas.openxmlformats.org/officeDocument/2006/relationships/image" Target="media/image49.png"/><Relationship Id="rId31" Type="http://schemas.openxmlformats.org/officeDocument/2006/relationships/image" Target="media/image23.png"/><Relationship Id="rId30" Type="http://schemas.openxmlformats.org/officeDocument/2006/relationships/image" Target="media/image61.png"/><Relationship Id="rId11" Type="http://schemas.openxmlformats.org/officeDocument/2006/relationships/image" Target="media/image42.png"/><Relationship Id="rId33" Type="http://schemas.openxmlformats.org/officeDocument/2006/relationships/image" Target="media/image56.png"/><Relationship Id="rId10" Type="http://schemas.openxmlformats.org/officeDocument/2006/relationships/image" Target="media/image48.png"/><Relationship Id="rId32" Type="http://schemas.openxmlformats.org/officeDocument/2006/relationships/image" Target="media/image54.png"/><Relationship Id="rId13" Type="http://schemas.openxmlformats.org/officeDocument/2006/relationships/image" Target="media/image47.png"/><Relationship Id="rId35" Type="http://schemas.openxmlformats.org/officeDocument/2006/relationships/image" Target="media/image59.png"/><Relationship Id="rId12" Type="http://schemas.openxmlformats.org/officeDocument/2006/relationships/image" Target="media/image51.png"/><Relationship Id="rId34" Type="http://schemas.openxmlformats.org/officeDocument/2006/relationships/image" Target="media/image37.png"/><Relationship Id="rId15" Type="http://schemas.openxmlformats.org/officeDocument/2006/relationships/image" Target="media/image50.png"/><Relationship Id="rId14" Type="http://schemas.openxmlformats.org/officeDocument/2006/relationships/image" Target="media/image25.png"/><Relationship Id="rId36" Type="http://schemas.openxmlformats.org/officeDocument/2006/relationships/image" Target="media/image52.png"/><Relationship Id="rId17" Type="http://schemas.openxmlformats.org/officeDocument/2006/relationships/image" Target="media/image55.png"/><Relationship Id="rId16" Type="http://schemas.openxmlformats.org/officeDocument/2006/relationships/image" Target="media/image45.png"/><Relationship Id="rId19" Type="http://schemas.openxmlformats.org/officeDocument/2006/relationships/image" Target="media/image39.png"/><Relationship Id="rId1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