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color w:val="8399A3"/>
          <w:sz w:val="18"/>
          <w:szCs w:val="18"/>
        </w:rPr>
      </w:pPr>
      <w:bookmarkStart w:id="0" w:name="_6s1kr6i5sf2g"/>
      <w:bookmarkEnd w:id="0"/>
      <w:r>
        <w:rPr>
          <w:b/>
          <w:sz w:val="48"/>
          <w:szCs w:val="48"/>
        </w:rPr>
        <w:t>PROJECT PROPOSITION - Lab1</w:t>
      </w:r>
      <w:r>
        <w:rPr/>
        <w:t xml:space="preserve"> </w:t>
      </w:r>
      <w:r>
        <w:rPr>
          <w:color w:val="8399A3"/>
          <w:sz w:val="18"/>
          <w:szCs w:val="18"/>
        </w:rPr>
        <w:t>(M1, second semester)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620" w:leader="none"/>
          <w:tab w:val="left" w:pos="4230" w:leader="none"/>
          <w:tab w:val="left" w:pos="4950" w:leader="none"/>
        </w:tabs>
        <w:spacing w:lineRule="auto" w:line="360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>
        <w:rPr>
          <w:sz w:val="24"/>
          <w:szCs w:val="24"/>
        </w:rPr>
        <w:t>jb FICHE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  <w:tab w:val="left" w:pos="4950" w:leader="none"/>
        </w:tabs>
        <w:spacing w:lineRule="auto" w:line="360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Contact email: </w:t>
      </w:r>
      <w:r>
        <w:rPr>
          <w:sz w:val="24"/>
          <w:szCs w:val="24"/>
        </w:rPr>
        <w:t>fiche@cbs.cnrs.fr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spacing w:lineRule="auto" w:line="360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Hosting lab: </w:t>
      </w:r>
      <w:r>
        <w:rPr>
          <w:sz w:val="24"/>
          <w:szCs w:val="24"/>
        </w:rPr>
        <w:t>CBS 60 – Nöllmann’s group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4"/>
          <w:szCs w:val="24"/>
        </w:rPr>
      </w:pPr>
      <w:r>
        <w:rPr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tabs>
          <w:tab w:val="clear" w:pos="720"/>
          <w:tab w:val="left" w:pos="1620" w:leader="none"/>
          <w:tab w:val="left" w:pos="4230" w:leader="none"/>
          <w:tab w:val="left" w:pos="6930" w:leader="none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eastAsia="Arial Unicode MS" w:cs="Arial Unicode MS" w:ascii="Arial Unicode MS" w:hAnsi="Arial Unicode MS"/>
          <w:color w:val="8399A3"/>
          <w:sz w:val="24"/>
          <w:szCs w:val="24"/>
        </w:rPr>
        <w:t xml:space="preserve"> instead of </w:t>
      </w:r>
      <w:r>
        <w:rPr>
          <w:rFonts w:ascii="Arial Unicode MS" w:hAnsi="Arial Unicode MS" w:cs="Arial Unicode MS" w:eastAsia="Arial Unicode MS"/>
          <w:color w:val="8399A3"/>
          <w:sz w:val="24"/>
          <w:szCs w:val="24"/>
        </w:rPr>
        <w:t>ロ</w:t>
      </w:r>
      <w:r>
        <w:rPr>
          <w:rFonts w:eastAsia="Arial Unicode MS" w:cs="Arial Unicode MS" w:ascii="Arial Unicode MS" w:hAnsi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1620" w:leader="none"/>
          <w:tab w:val="left" w:pos="3510" w:leader="none"/>
          <w:tab w:val="left" w:pos="684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3510" w:leader="none"/>
          <w:tab w:val="left" w:pos="5580" w:leader="none"/>
        </w:tabs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ロ </w:t>
      </w:r>
      <w:r>
        <w:rPr>
          <w:rFonts w:eastAsia="Arial Unicode MS" w:cs="Arial Unicode MS" w:ascii="Arial Unicode MS" w:hAnsi="Arial Unicode MS"/>
          <w:sz w:val="24"/>
          <w:szCs w:val="24"/>
        </w:rPr>
        <w:t>Only 1st slot</w:t>
        <w:tab/>
        <w:tab/>
      </w:r>
      <w:r>
        <w:rPr>
          <w:rFonts w:eastAsia="Arial Unicode MS" w:cs="Arial Unicode MS" w:ascii="Arial Unicode MS" w:hAnsi="Arial Unicode MS"/>
          <w:sz w:val="24"/>
          <w:szCs w:val="24"/>
        </w:rPr>
        <w:t>x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 Only 2nd slot</w:t>
        <w:tab/>
      </w:r>
    </w:p>
    <w:p>
      <w:pPr>
        <w:pStyle w:val="Normal"/>
        <w:tabs>
          <w:tab w:val="clear" w:pos="720"/>
          <w:tab w:val="left" w:pos="1620" w:leader="none"/>
          <w:tab w:val="left" w:pos="360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3510" w:leader="none"/>
          <w:tab w:val="left" w:pos="5580" w:leader="none"/>
        </w:tabs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ロ </w:t>
      </w:r>
      <w:r>
        <w:rPr>
          <w:rFonts w:eastAsia="Arial Unicode MS" w:cs="Arial Unicode MS" w:ascii="Arial Unicode MS" w:hAnsi="Arial Unicode MS"/>
          <w:sz w:val="24"/>
          <w:szCs w:val="24"/>
        </w:rPr>
        <w:t>One slot, but I have no preference on which</w:t>
        <w:tab/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ロ </w:t>
      </w:r>
      <w:r>
        <w:rPr>
          <w:rFonts w:eastAsia="Arial Unicode MS" w:cs="Arial Unicode MS" w:ascii="Arial Unicode MS" w:hAnsi="Arial Unicode MS"/>
          <w:sz w:val="24"/>
          <w:szCs w:val="24"/>
        </w:rPr>
        <w:t>Both slots (with different groups)</w:t>
      </w:r>
    </w:p>
    <w:p>
      <w:pPr>
        <w:pStyle w:val="Normal"/>
        <w:tabs>
          <w:tab w:val="clear" w:pos="720"/>
          <w:tab w:val="left" w:pos="1620" w:leader="none"/>
          <w:tab w:val="left" w:pos="360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3600" w:leader="none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1st slot:  thursdays and fridays, from 3/2/2021 to 18/3/2021</w:t>
      </w:r>
    </w:p>
    <w:p>
      <w:pPr>
        <w:pStyle w:val="Normal"/>
        <w:tabs>
          <w:tab w:val="clear" w:pos="720"/>
          <w:tab w:val="left" w:pos="1620" w:leader="none"/>
          <w:tab w:val="left" w:pos="3600" w:leader="none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2nd slot: thursdays and fridays (except for the last 2 weeks), from 31/3/2021 to 6/5/2021</w:t>
      </w:r>
    </w:p>
    <w:p>
      <w:pPr>
        <w:pStyle w:val="Normal"/>
        <w:tabs>
          <w:tab w:val="clear" w:pos="720"/>
          <w:tab w:val="left" w:pos="1620" w:leader="none"/>
          <w:tab w:val="left" w:pos="3600" w:leader="none"/>
        </w:tabs>
        <w:rPr>
          <w:color w:val="8399A3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620" w:leader="none"/>
          <w:tab w:val="left" w:pos="3600" w:leader="none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Building an uniform illumination module for epifluorence microscopy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color w:val="008AAE"/>
          <w:sz w:val="24"/>
          <w:szCs w:val="24"/>
        </w:rPr>
      </w:pPr>
      <w:r>
        <w:rPr>
          <w:color w:val="008AAE"/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/>
      </w:pPr>
      <w:r>
        <w:rPr>
          <w:sz w:val="22"/>
          <w:szCs w:val="22"/>
        </w:rPr>
        <w:t>In fluorescence microscopy, lasers are a common source of excitation. They provide fluorophore excitation at precise wavelenghts and high power. However, illumination is often Gaussian-shaped and results in a highly inhomogeneous excitation over the sample.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/>
      </w:pPr>
      <w:r>
        <w:rPr>
          <w:sz w:val="22"/>
          <w:szCs w:val="22"/>
        </w:rPr>
        <w:t>Several solutions have been proposed to achieve homogeneous illumination. We would like to implement in our lab a method based on a multimode square-core fiber.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2"/>
          <w:szCs w:val="22"/>
        </w:rPr>
      </w:pPr>
      <w:r>
        <w:rPr>
          <w:sz w:val="22"/>
          <w:szCs w:val="22"/>
        </w:rPr>
        <w:t>Knowledge in optics and laser alignment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2"/>
          <w:szCs w:val="22"/>
        </w:rPr>
      </w:pPr>
      <w:r>
        <w:rPr>
          <w:sz w:val="22"/>
          <w:szCs w:val="22"/>
        </w:rPr>
        <w:t>Python programming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Build a proof-of-concept setup using a 150µm² square-core fiber. Compare illumination homogeneity with regular microscope. </w:t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  <w:tab w:val="left" w:pos="4230" w:leader="none"/>
        </w:tabs>
        <w:rPr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6D6F71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5410200</wp:posOffset>
          </wp:positionH>
          <wp:positionV relativeFrom="paragraph">
            <wp:posOffset>-219075</wp:posOffset>
          </wp:positionV>
          <wp:extent cx="1126490" cy="499745"/>
          <wp:effectExtent l="0" t="0" r="0" b="0"/>
          <wp:wrapNone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D6F71"/>
      </w:rPr>
      <w:t>L</w:t>
    </w:r>
    <w:r>
      <w:rPr>
        <w:color w:val="6D6F71"/>
      </w:rPr>
      <w:t>ab 1 - Project proposition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fr-F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2</Pages>
  <Words>188</Words>
  <Characters>1052</Characters>
  <CharactersWithSpaces>1228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2021-11-02T16:41:00Z</dcterms:created>
  <dc:creator/>
  <dc:description/>
  <dc:language>en-US</dc:language>
  <cp:lastModifiedBy/>
  <dcterms:modified xsi:type="dcterms:W3CDTF">2021-12-14T09:37:16Z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