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E7764" w14:textId="2061B765" w:rsidR="000A4D97" w:rsidRDefault="00000000" w:rsidP="000A4D97">
      <w:pPr>
        <w:spacing w:line="300" w:lineRule="exact"/>
        <w:jc w:val="center"/>
        <w:rPr>
          <w:rFonts w:ascii="Times New Roman" w:hAnsi="Times New Roman" w:cs="Times New Roman"/>
          <w:b/>
          <w:bCs/>
          <w:sz w:val="28"/>
          <w:szCs w:val="28"/>
        </w:rPr>
      </w:pPr>
      <w:r w:rsidRPr="000A4D97">
        <w:rPr>
          <w:rFonts w:ascii="Times New Roman" w:hAnsi="Times New Roman" w:cs="Times New Roman"/>
          <w:b/>
          <w:bCs/>
          <w:sz w:val="28"/>
          <w:szCs w:val="28"/>
        </w:rPr>
        <w:t>Cross-cultural interpretation of filmic metaphors:</w:t>
      </w:r>
    </w:p>
    <w:p w14:paraId="7AA93B9C" w14:textId="7CAD80AD" w:rsidR="00990DF3" w:rsidRPr="000A4D97" w:rsidRDefault="00000000" w:rsidP="000A4D97">
      <w:pPr>
        <w:spacing w:line="300" w:lineRule="exact"/>
        <w:jc w:val="center"/>
        <w:rPr>
          <w:rFonts w:ascii="Times New Roman" w:hAnsi="Times New Roman" w:cs="Times New Roman" w:hint="eastAsia"/>
          <w:b/>
          <w:bCs/>
          <w:sz w:val="28"/>
          <w:szCs w:val="28"/>
        </w:rPr>
      </w:pPr>
      <w:r w:rsidRPr="000A4D97">
        <w:rPr>
          <w:rFonts w:ascii="Times New Roman" w:hAnsi="Times New Roman" w:cs="Times New Roman"/>
          <w:b/>
          <w:bCs/>
          <w:sz w:val="28"/>
          <w:szCs w:val="28"/>
        </w:rPr>
        <w:t>A think-aloud experiment</w:t>
      </w:r>
    </w:p>
    <w:p w14:paraId="4960D4E5" w14:textId="77777777" w:rsidR="00990DF3" w:rsidRPr="000A4D97" w:rsidRDefault="00000000" w:rsidP="000A4D97">
      <w:pPr>
        <w:spacing w:line="240" w:lineRule="auto"/>
        <w:rPr>
          <w:rFonts w:ascii="Times New Roman" w:hAnsi="Times New Roman" w:cs="Times New Roman"/>
          <w:b/>
          <w:bCs/>
          <w:sz w:val="24"/>
        </w:rPr>
      </w:pPr>
      <w:r w:rsidRPr="000A4D97">
        <w:rPr>
          <w:rFonts w:ascii="Times New Roman" w:hAnsi="Times New Roman" w:cs="Times New Roman"/>
          <w:b/>
          <w:bCs/>
          <w:sz w:val="24"/>
        </w:rPr>
        <w:t>Abstract</w:t>
      </w:r>
    </w:p>
    <w:p w14:paraId="769E1C57" w14:textId="10590232" w:rsidR="00990DF3" w:rsidRPr="000A4D97" w:rsidRDefault="00000000" w:rsidP="007136A9">
      <w:pPr>
        <w:spacing w:line="240" w:lineRule="auto"/>
        <w:ind w:firstLineChars="100" w:firstLine="240"/>
        <w:rPr>
          <w:rFonts w:ascii="Times New Roman" w:hAnsi="Times New Roman" w:cs="Times New Roman" w:hint="eastAsia"/>
          <w:sz w:val="24"/>
        </w:rPr>
      </w:pPr>
      <w:r w:rsidRPr="000A4D97">
        <w:rPr>
          <w:rFonts w:ascii="Times New Roman" w:hAnsi="Times New Roman" w:cs="Times New Roman"/>
          <w:sz w:val="24"/>
        </w:rPr>
        <w:t>This study investigates how viewers from different language backgrounds interpret metaphors in film advertisements, using a theoretical model and a think-aloud retrospective task. The results show cultural differences in mental processes and the influence of genre-related knowledge on filmic metaphor interpretation.</w:t>
      </w:r>
    </w:p>
    <w:p w14:paraId="2AB222B4" w14:textId="49478455" w:rsidR="00990DF3" w:rsidRPr="007136A9" w:rsidRDefault="007136A9" w:rsidP="007136A9">
      <w:pPr>
        <w:spacing w:line="240" w:lineRule="auto"/>
        <w:rPr>
          <w:rFonts w:ascii="Times New Roman" w:hAnsi="Times New Roman" w:cs="Times New Roman"/>
          <w:b/>
          <w:bCs/>
          <w:sz w:val="24"/>
        </w:rPr>
      </w:pPr>
      <w:r>
        <w:rPr>
          <w:rFonts w:ascii="Times New Roman" w:hAnsi="Times New Roman" w:cs="Times New Roman" w:hint="eastAsia"/>
          <w:b/>
          <w:bCs/>
          <w:sz w:val="24"/>
        </w:rPr>
        <w:t xml:space="preserve">1 </w:t>
      </w:r>
      <w:r w:rsidR="00000000" w:rsidRPr="007136A9">
        <w:rPr>
          <w:rFonts w:ascii="Times New Roman" w:hAnsi="Times New Roman" w:cs="Times New Roman"/>
          <w:b/>
          <w:bCs/>
          <w:sz w:val="24"/>
        </w:rPr>
        <w:t>Introduction</w:t>
      </w:r>
    </w:p>
    <w:p w14:paraId="0EEA18DA" w14:textId="61B6875B" w:rsidR="00990DF3" w:rsidRPr="007136A9" w:rsidRDefault="007136A9" w:rsidP="007136A9">
      <w:pPr>
        <w:spacing w:line="240" w:lineRule="auto"/>
        <w:rPr>
          <w:rFonts w:ascii="Times New Roman" w:hAnsi="Times New Roman" w:cs="Times New Roman"/>
          <w:b/>
          <w:bCs/>
          <w:sz w:val="24"/>
        </w:rPr>
      </w:pPr>
      <w:r>
        <w:rPr>
          <w:rFonts w:ascii="Times New Roman" w:hAnsi="Times New Roman" w:cs="Times New Roman" w:hint="eastAsia"/>
          <w:b/>
          <w:bCs/>
          <w:sz w:val="24"/>
        </w:rPr>
        <w:t xml:space="preserve">2 </w:t>
      </w:r>
      <w:r w:rsidR="00000000" w:rsidRPr="007136A9">
        <w:rPr>
          <w:rFonts w:ascii="Times New Roman" w:hAnsi="Times New Roman" w:cs="Times New Roman"/>
          <w:b/>
          <w:bCs/>
          <w:sz w:val="24"/>
        </w:rPr>
        <w:t xml:space="preserve">Theoretical </w:t>
      </w:r>
      <w:proofErr w:type="gramStart"/>
      <w:r w:rsidR="00000000" w:rsidRPr="007136A9">
        <w:rPr>
          <w:rFonts w:ascii="Times New Roman" w:hAnsi="Times New Roman" w:cs="Times New Roman"/>
          <w:b/>
          <w:bCs/>
          <w:sz w:val="24"/>
        </w:rPr>
        <w:t>background</w:t>
      </w:r>
      <w:proofErr w:type="gramEnd"/>
      <w:r w:rsidR="00000000" w:rsidRPr="007136A9">
        <w:rPr>
          <w:rFonts w:ascii="Times New Roman" w:hAnsi="Times New Roman" w:cs="Times New Roman"/>
          <w:b/>
          <w:bCs/>
          <w:sz w:val="24"/>
        </w:rPr>
        <w:t xml:space="preserve"> </w:t>
      </w:r>
    </w:p>
    <w:p w14:paraId="45C82548" w14:textId="37AFBE61" w:rsidR="00990DF3" w:rsidRPr="007136A9" w:rsidRDefault="00000000" w:rsidP="007136A9">
      <w:pPr>
        <w:spacing w:line="240" w:lineRule="auto"/>
        <w:ind w:firstLineChars="100" w:firstLine="211"/>
        <w:rPr>
          <w:rFonts w:ascii="Times New Roman" w:hAnsi="Times New Roman" w:cs="Times New Roman"/>
          <w:b/>
          <w:bCs/>
          <w:szCs w:val="21"/>
        </w:rPr>
      </w:pPr>
      <w:r w:rsidRPr="007136A9">
        <w:rPr>
          <w:rFonts w:ascii="Times New Roman" w:hAnsi="Times New Roman" w:cs="Times New Roman"/>
          <w:b/>
          <w:bCs/>
          <w:szCs w:val="21"/>
        </w:rPr>
        <w:t xml:space="preserve">2.1 Visual metaphor processing and aesthetic processing </w:t>
      </w:r>
    </w:p>
    <w:p w14:paraId="2A4B1CF0" w14:textId="525A272D" w:rsidR="00990DF3" w:rsidRPr="000A4D97" w:rsidRDefault="00000000" w:rsidP="007136A9">
      <w:pPr>
        <w:spacing w:line="240" w:lineRule="auto"/>
        <w:ind w:firstLineChars="100" w:firstLine="210"/>
        <w:rPr>
          <w:rFonts w:ascii="Times New Roman" w:hAnsi="Times New Roman" w:cs="Times New Roman"/>
          <w:szCs w:val="21"/>
        </w:rPr>
      </w:pPr>
      <w:r w:rsidRPr="000A4D97">
        <w:rPr>
          <w:rFonts w:ascii="Times New Roman" w:hAnsi="Times New Roman" w:cs="Times New Roman"/>
          <w:szCs w:val="21"/>
        </w:rPr>
        <w:t>The model of offline filmic metaphor construction in this paper is based on the model of visual metaphor processing proposed by Š</w:t>
      </w:r>
      <w:proofErr w:type="spellStart"/>
      <w:r w:rsidRPr="000A4D97">
        <w:rPr>
          <w:rFonts w:ascii="Times New Roman" w:hAnsi="Times New Roman" w:cs="Times New Roman"/>
          <w:szCs w:val="21"/>
        </w:rPr>
        <w:t>orm</w:t>
      </w:r>
      <w:proofErr w:type="spellEnd"/>
      <w:r w:rsidRPr="000A4D97">
        <w:rPr>
          <w:rFonts w:ascii="Times New Roman" w:hAnsi="Times New Roman" w:cs="Times New Roman"/>
          <w:szCs w:val="21"/>
        </w:rPr>
        <w:t xml:space="preserve"> and Steen (2013).</w:t>
      </w:r>
    </w:p>
    <w:p w14:paraId="47B12480" w14:textId="24E68B31" w:rsidR="00990DF3" w:rsidRPr="007136A9" w:rsidRDefault="00000000" w:rsidP="007136A9">
      <w:pPr>
        <w:spacing w:line="240" w:lineRule="auto"/>
        <w:ind w:firstLineChars="100" w:firstLine="211"/>
        <w:rPr>
          <w:rFonts w:ascii="Times New Roman" w:hAnsi="Times New Roman" w:cs="Times New Roman" w:hint="eastAsia"/>
          <w:b/>
          <w:bCs/>
          <w:szCs w:val="21"/>
        </w:rPr>
      </w:pPr>
      <w:r w:rsidRPr="007136A9">
        <w:rPr>
          <w:rFonts w:ascii="Times New Roman" w:hAnsi="Times New Roman" w:cs="Times New Roman"/>
          <w:b/>
          <w:bCs/>
          <w:szCs w:val="21"/>
        </w:rPr>
        <w:t xml:space="preserve">2.2 A model of filmic metaphor construction </w:t>
      </w:r>
    </w:p>
    <w:p w14:paraId="71D21212" w14:textId="671E886A" w:rsidR="00990DF3" w:rsidRPr="000A4D97" w:rsidRDefault="008E59F3" w:rsidP="007136A9">
      <w:pPr>
        <w:spacing w:line="240" w:lineRule="auto"/>
        <w:ind w:firstLineChars="100" w:firstLine="210"/>
        <w:rPr>
          <w:rFonts w:ascii="Times New Roman" w:hAnsi="Times New Roman" w:cs="Times New Roman"/>
          <w:szCs w:val="21"/>
        </w:rPr>
      </w:pPr>
      <w:r>
        <w:rPr>
          <w:rFonts w:ascii="Times New Roman" w:hAnsi="Times New Roman" w:cs="Times New Roman" w:hint="eastAsia"/>
          <w:szCs w:val="21"/>
        </w:rPr>
        <w:t xml:space="preserve">a. </w:t>
      </w:r>
      <w:r w:rsidR="00000000" w:rsidRPr="007136A9">
        <w:rPr>
          <w:rFonts w:ascii="Times New Roman" w:hAnsi="Times New Roman" w:cs="Times New Roman"/>
          <w:i/>
          <w:iCs/>
          <w:szCs w:val="21"/>
        </w:rPr>
        <w:t>Content description</w:t>
      </w:r>
      <w:r w:rsidR="00000000" w:rsidRPr="000A4D97">
        <w:rPr>
          <w:rFonts w:ascii="Times New Roman" w:hAnsi="Times New Roman" w:cs="Times New Roman"/>
          <w:szCs w:val="21"/>
        </w:rPr>
        <w:t xml:space="preserve"> involves the recognition of perceptual elements.</w:t>
      </w:r>
    </w:p>
    <w:p w14:paraId="2461AFBD" w14:textId="7157BA30" w:rsidR="007136A9" w:rsidRDefault="008E59F3" w:rsidP="007136A9">
      <w:pPr>
        <w:spacing w:line="240" w:lineRule="auto"/>
        <w:ind w:firstLineChars="100" w:firstLine="210"/>
        <w:rPr>
          <w:rFonts w:ascii="Times New Roman" w:hAnsi="Times New Roman" w:cs="Times New Roman"/>
          <w:szCs w:val="21"/>
        </w:rPr>
      </w:pPr>
      <w:r>
        <w:rPr>
          <w:rFonts w:ascii="Times New Roman" w:hAnsi="Times New Roman" w:cs="Times New Roman" w:hint="eastAsia"/>
          <w:szCs w:val="21"/>
        </w:rPr>
        <w:t xml:space="preserve">b. </w:t>
      </w:r>
      <w:r w:rsidR="00000000" w:rsidRPr="007136A9">
        <w:rPr>
          <w:rFonts w:ascii="Times New Roman" w:hAnsi="Times New Roman" w:cs="Times New Roman"/>
          <w:i/>
          <w:iCs/>
          <w:szCs w:val="21"/>
        </w:rPr>
        <w:t>Metaphor construction</w:t>
      </w:r>
      <w:r w:rsidR="00000000" w:rsidRPr="000A4D97">
        <w:rPr>
          <w:rFonts w:ascii="Times New Roman" w:hAnsi="Times New Roman" w:cs="Times New Roman"/>
          <w:szCs w:val="21"/>
        </w:rPr>
        <w:t xml:space="preserve"> includes the process of finding incongruous elements and resolving them with a comparison.</w:t>
      </w:r>
    </w:p>
    <w:p w14:paraId="614CB564" w14:textId="3D078792" w:rsidR="00990DF3" w:rsidRPr="000A4D97" w:rsidRDefault="008E59F3" w:rsidP="007136A9">
      <w:pPr>
        <w:spacing w:line="240" w:lineRule="auto"/>
        <w:ind w:firstLineChars="100" w:firstLine="210"/>
        <w:rPr>
          <w:rFonts w:ascii="Times New Roman" w:hAnsi="Times New Roman" w:cs="Times New Roman" w:hint="eastAsia"/>
          <w:szCs w:val="21"/>
        </w:rPr>
      </w:pPr>
      <w:r>
        <w:rPr>
          <w:rFonts w:ascii="Times New Roman" w:hAnsi="Times New Roman" w:cs="Times New Roman" w:hint="eastAsia"/>
          <w:szCs w:val="21"/>
        </w:rPr>
        <w:t xml:space="preserve">c. </w:t>
      </w:r>
      <w:r w:rsidR="00000000" w:rsidRPr="007136A9">
        <w:rPr>
          <w:rFonts w:ascii="Times New Roman" w:hAnsi="Times New Roman" w:cs="Times New Roman"/>
          <w:i/>
          <w:iCs/>
          <w:szCs w:val="21"/>
        </w:rPr>
        <w:t xml:space="preserve">Evaluation </w:t>
      </w:r>
      <w:r w:rsidR="00000000" w:rsidRPr="000A4D97">
        <w:rPr>
          <w:rFonts w:ascii="Times New Roman" w:hAnsi="Times New Roman" w:cs="Times New Roman"/>
          <w:szCs w:val="21"/>
        </w:rPr>
        <w:t>entails both the designer and the viewers.</w:t>
      </w:r>
    </w:p>
    <w:p w14:paraId="28649792" w14:textId="117DA494" w:rsidR="00990DF3" w:rsidRPr="007136A9" w:rsidRDefault="00000000" w:rsidP="007136A9">
      <w:pPr>
        <w:spacing w:line="240" w:lineRule="auto"/>
        <w:ind w:firstLineChars="100" w:firstLine="211"/>
        <w:rPr>
          <w:rFonts w:ascii="Times New Roman" w:hAnsi="Times New Roman" w:cs="Times New Roman" w:hint="eastAsia"/>
          <w:b/>
          <w:bCs/>
          <w:szCs w:val="21"/>
        </w:rPr>
      </w:pPr>
      <w:r w:rsidRPr="007136A9">
        <w:rPr>
          <w:rFonts w:ascii="Times New Roman" w:hAnsi="Times New Roman" w:cs="Times New Roman"/>
          <w:b/>
          <w:bCs/>
          <w:szCs w:val="21"/>
        </w:rPr>
        <w:t>2.3 The think-aloud paradigm</w:t>
      </w:r>
    </w:p>
    <w:p w14:paraId="36177EF3" w14:textId="77777777" w:rsidR="00990DF3" w:rsidRPr="007136A9" w:rsidRDefault="00000000" w:rsidP="000A4D97">
      <w:pPr>
        <w:spacing w:line="240" w:lineRule="auto"/>
        <w:rPr>
          <w:rFonts w:ascii="Times New Roman" w:hAnsi="Times New Roman" w:cs="Times New Roman"/>
          <w:b/>
          <w:bCs/>
          <w:sz w:val="24"/>
        </w:rPr>
      </w:pPr>
      <w:r w:rsidRPr="007136A9">
        <w:rPr>
          <w:rFonts w:ascii="Times New Roman" w:hAnsi="Times New Roman" w:cs="Times New Roman"/>
          <w:b/>
          <w:bCs/>
          <w:sz w:val="24"/>
        </w:rPr>
        <w:t>3 Method</w:t>
      </w:r>
    </w:p>
    <w:p w14:paraId="3E6E11FC" w14:textId="77777777" w:rsidR="00990DF3" w:rsidRPr="007136A9" w:rsidRDefault="00000000" w:rsidP="007136A9">
      <w:pPr>
        <w:spacing w:line="240" w:lineRule="auto"/>
        <w:ind w:firstLineChars="100" w:firstLine="211"/>
        <w:rPr>
          <w:rFonts w:ascii="Times New Roman" w:hAnsi="Times New Roman" w:cs="Times New Roman"/>
          <w:b/>
          <w:bCs/>
          <w:szCs w:val="21"/>
        </w:rPr>
      </w:pPr>
      <w:r w:rsidRPr="007136A9">
        <w:rPr>
          <w:rFonts w:ascii="Times New Roman" w:hAnsi="Times New Roman" w:cs="Times New Roman"/>
          <w:b/>
          <w:bCs/>
          <w:szCs w:val="21"/>
        </w:rPr>
        <w:t>3.1 Materials</w:t>
      </w:r>
    </w:p>
    <w:p w14:paraId="74F612F2" w14:textId="6C01F2CB" w:rsidR="00990DF3" w:rsidRPr="007136A9" w:rsidRDefault="00000000" w:rsidP="007136A9">
      <w:pPr>
        <w:spacing w:line="240" w:lineRule="auto"/>
        <w:ind w:firstLineChars="100" w:firstLine="210"/>
        <w:rPr>
          <w:rFonts w:ascii="Times New Roman" w:hAnsi="Times New Roman" w:cs="Times New Roman" w:hint="eastAsia"/>
          <w:szCs w:val="21"/>
        </w:rPr>
      </w:pPr>
      <w:r w:rsidRPr="000A4D97">
        <w:rPr>
          <w:rFonts w:ascii="Times New Roman" w:hAnsi="Times New Roman" w:cs="Times New Roman"/>
          <w:szCs w:val="21"/>
        </w:rPr>
        <w:t>Two TV commercials from different perfume brands</w:t>
      </w:r>
      <w:r w:rsidR="007136A9">
        <w:rPr>
          <w:rFonts w:ascii="Times New Roman" w:hAnsi="Times New Roman" w:cs="Times New Roman" w:hint="eastAsia"/>
          <w:szCs w:val="21"/>
        </w:rPr>
        <w:t>.</w:t>
      </w:r>
    </w:p>
    <w:p w14:paraId="1F41C37B" w14:textId="77777777" w:rsidR="00990DF3" w:rsidRPr="007136A9" w:rsidRDefault="00000000" w:rsidP="007136A9">
      <w:pPr>
        <w:spacing w:line="240" w:lineRule="auto"/>
        <w:ind w:firstLineChars="100" w:firstLine="211"/>
        <w:rPr>
          <w:rFonts w:ascii="Times New Roman" w:hAnsi="Times New Roman" w:cs="Times New Roman"/>
          <w:b/>
          <w:bCs/>
          <w:szCs w:val="21"/>
        </w:rPr>
      </w:pPr>
      <w:r w:rsidRPr="007136A9">
        <w:rPr>
          <w:rFonts w:ascii="Times New Roman" w:hAnsi="Times New Roman" w:cs="Times New Roman"/>
          <w:b/>
          <w:bCs/>
          <w:szCs w:val="21"/>
        </w:rPr>
        <w:t>3.2 Participants</w:t>
      </w:r>
    </w:p>
    <w:p w14:paraId="38F4F903" w14:textId="2CA05D20" w:rsidR="00990DF3" w:rsidRPr="000A4D97" w:rsidRDefault="007136A9" w:rsidP="007136A9">
      <w:pPr>
        <w:spacing w:line="240" w:lineRule="auto"/>
        <w:ind w:firstLineChars="100" w:firstLine="210"/>
        <w:rPr>
          <w:rFonts w:ascii="Times New Roman" w:hAnsi="Times New Roman" w:cs="Times New Roman"/>
          <w:szCs w:val="21"/>
        </w:rPr>
      </w:pPr>
      <w:r>
        <w:rPr>
          <w:rFonts w:ascii="Times New Roman" w:hAnsi="Times New Roman" w:cs="Times New Roman" w:hint="eastAsia"/>
          <w:szCs w:val="21"/>
        </w:rPr>
        <w:t xml:space="preserve">a. </w:t>
      </w:r>
      <w:r w:rsidR="00000000" w:rsidRPr="000A4D97">
        <w:rPr>
          <w:rFonts w:ascii="Times New Roman" w:hAnsi="Times New Roman" w:cs="Times New Roman"/>
          <w:szCs w:val="21"/>
        </w:rPr>
        <w:t>Spain: 30 Spanish native speakers (24 women and six men) from 20 to 25 years old.</w:t>
      </w:r>
    </w:p>
    <w:p w14:paraId="2901ABD4" w14:textId="1D4C7A88" w:rsidR="00990DF3" w:rsidRPr="000A4D97" w:rsidRDefault="007136A9" w:rsidP="007136A9">
      <w:pPr>
        <w:spacing w:line="240" w:lineRule="auto"/>
        <w:ind w:firstLineChars="100" w:firstLine="210"/>
        <w:rPr>
          <w:rFonts w:ascii="Times New Roman" w:hAnsi="Times New Roman" w:cs="Times New Roman"/>
          <w:szCs w:val="21"/>
        </w:rPr>
      </w:pPr>
      <w:r>
        <w:rPr>
          <w:rFonts w:ascii="Times New Roman" w:hAnsi="Times New Roman" w:cs="Times New Roman" w:hint="eastAsia"/>
          <w:szCs w:val="21"/>
        </w:rPr>
        <w:t xml:space="preserve">b. </w:t>
      </w:r>
      <w:r w:rsidR="00000000" w:rsidRPr="000A4D97">
        <w:rPr>
          <w:rFonts w:ascii="Times New Roman" w:hAnsi="Times New Roman" w:cs="Times New Roman"/>
          <w:szCs w:val="21"/>
        </w:rPr>
        <w:t xml:space="preserve">USA: 30 American English native speakers (21 women and nine men) from 20 to 25 years old. </w:t>
      </w:r>
    </w:p>
    <w:p w14:paraId="17D08100" w14:textId="5E1C5F99" w:rsidR="00990DF3" w:rsidRPr="000A4D97" w:rsidRDefault="007136A9" w:rsidP="007136A9">
      <w:pPr>
        <w:spacing w:line="240" w:lineRule="auto"/>
        <w:ind w:firstLineChars="100" w:firstLine="210"/>
        <w:rPr>
          <w:rFonts w:ascii="Times New Roman" w:hAnsi="Times New Roman" w:cs="Times New Roman" w:hint="eastAsia"/>
          <w:szCs w:val="21"/>
        </w:rPr>
      </w:pPr>
      <w:r>
        <w:rPr>
          <w:rFonts w:ascii="Times New Roman" w:hAnsi="Times New Roman" w:cs="Times New Roman" w:hint="eastAsia"/>
          <w:szCs w:val="21"/>
        </w:rPr>
        <w:t xml:space="preserve">c. </w:t>
      </w:r>
      <w:r w:rsidR="00000000" w:rsidRPr="000A4D97">
        <w:rPr>
          <w:rFonts w:ascii="Times New Roman" w:hAnsi="Times New Roman" w:cs="Times New Roman"/>
          <w:szCs w:val="21"/>
        </w:rPr>
        <w:t>Iran: 30 Persian native speakers (25 women and five men) between 21 and 24 years old.</w:t>
      </w:r>
    </w:p>
    <w:p w14:paraId="34F1896F" w14:textId="77777777" w:rsidR="00990DF3" w:rsidRPr="007136A9" w:rsidRDefault="00000000" w:rsidP="007136A9">
      <w:pPr>
        <w:spacing w:line="240" w:lineRule="auto"/>
        <w:ind w:firstLineChars="100" w:firstLine="211"/>
        <w:rPr>
          <w:rFonts w:ascii="Times New Roman" w:hAnsi="Times New Roman" w:cs="Times New Roman"/>
          <w:b/>
          <w:bCs/>
          <w:szCs w:val="21"/>
        </w:rPr>
      </w:pPr>
      <w:r w:rsidRPr="007136A9">
        <w:rPr>
          <w:rFonts w:ascii="Times New Roman" w:hAnsi="Times New Roman" w:cs="Times New Roman"/>
          <w:b/>
          <w:bCs/>
          <w:szCs w:val="21"/>
        </w:rPr>
        <w:t>3.3 General procedure</w:t>
      </w:r>
    </w:p>
    <w:p w14:paraId="31323626" w14:textId="018C6972" w:rsidR="00990DF3" w:rsidRPr="000A4D97" w:rsidRDefault="00000000" w:rsidP="007136A9">
      <w:pPr>
        <w:spacing w:line="240" w:lineRule="auto"/>
        <w:ind w:firstLineChars="100" w:firstLine="210"/>
        <w:rPr>
          <w:rFonts w:ascii="Times New Roman" w:hAnsi="Times New Roman" w:cs="Times New Roman"/>
          <w:szCs w:val="21"/>
        </w:rPr>
      </w:pPr>
      <w:r w:rsidRPr="000A4D97">
        <w:rPr>
          <w:rFonts w:ascii="Times New Roman" w:hAnsi="Times New Roman" w:cs="Times New Roman"/>
          <w:szCs w:val="21"/>
        </w:rPr>
        <w:t>The retrospective think-aloud task was conducted individually in a quiet classroom, with participants providing verbalizations that were recorded and transcribed. Participants were given written instructions, which varied based on their language background, explaining the purpose and process of the task. The practice advertisement was shown to help participants familiarize themselves with verbalizing their thoughts. Each session lasted approximately 10 minutes.</w:t>
      </w:r>
    </w:p>
    <w:p w14:paraId="2E4CEAED" w14:textId="77777777" w:rsidR="00990DF3" w:rsidRPr="007136A9" w:rsidRDefault="00000000" w:rsidP="007136A9">
      <w:pPr>
        <w:spacing w:line="240" w:lineRule="auto"/>
        <w:ind w:firstLineChars="100" w:firstLine="211"/>
        <w:rPr>
          <w:rFonts w:ascii="Times New Roman" w:hAnsi="Times New Roman" w:cs="Times New Roman"/>
          <w:b/>
          <w:bCs/>
          <w:szCs w:val="21"/>
        </w:rPr>
      </w:pPr>
      <w:r w:rsidRPr="007136A9">
        <w:rPr>
          <w:rFonts w:ascii="Times New Roman" w:hAnsi="Times New Roman" w:cs="Times New Roman"/>
          <w:b/>
          <w:bCs/>
          <w:szCs w:val="21"/>
        </w:rPr>
        <w:t>3.4 Design of the content analyses</w:t>
      </w:r>
    </w:p>
    <w:p w14:paraId="5E7D7C7C" w14:textId="77777777" w:rsidR="00990DF3" w:rsidRPr="00D41973" w:rsidRDefault="00000000" w:rsidP="000A4D97">
      <w:pPr>
        <w:spacing w:line="240" w:lineRule="auto"/>
        <w:rPr>
          <w:rFonts w:ascii="Times New Roman" w:hAnsi="Times New Roman" w:cs="Times New Roman"/>
          <w:b/>
          <w:bCs/>
          <w:sz w:val="24"/>
        </w:rPr>
      </w:pPr>
      <w:r w:rsidRPr="00D41973">
        <w:rPr>
          <w:rFonts w:ascii="Times New Roman" w:hAnsi="Times New Roman" w:cs="Times New Roman"/>
          <w:b/>
          <w:bCs/>
          <w:sz w:val="24"/>
        </w:rPr>
        <w:lastRenderedPageBreak/>
        <w:t>4 Results</w:t>
      </w:r>
    </w:p>
    <w:p w14:paraId="0F1D896D" w14:textId="77777777" w:rsidR="00990DF3" w:rsidRPr="00D41973" w:rsidRDefault="00000000" w:rsidP="00D41973">
      <w:pPr>
        <w:spacing w:line="240" w:lineRule="auto"/>
        <w:ind w:firstLineChars="100" w:firstLine="211"/>
        <w:rPr>
          <w:rFonts w:ascii="Times New Roman" w:hAnsi="Times New Roman" w:cs="Times New Roman"/>
          <w:b/>
          <w:bCs/>
          <w:szCs w:val="21"/>
        </w:rPr>
      </w:pPr>
      <w:r w:rsidRPr="00D41973">
        <w:rPr>
          <w:rFonts w:ascii="Times New Roman" w:hAnsi="Times New Roman" w:cs="Times New Roman"/>
          <w:b/>
          <w:bCs/>
          <w:szCs w:val="21"/>
        </w:rPr>
        <w:t>4.1 Number of clauses in relation to language speakers and types of clauses</w:t>
      </w:r>
    </w:p>
    <w:p w14:paraId="7B2DCF0B" w14:textId="77777777" w:rsidR="00990DF3" w:rsidRPr="00D41973" w:rsidRDefault="00000000" w:rsidP="00D41973">
      <w:pPr>
        <w:spacing w:line="240" w:lineRule="auto"/>
        <w:ind w:firstLineChars="100" w:firstLine="211"/>
        <w:rPr>
          <w:rFonts w:ascii="Times New Roman" w:hAnsi="Times New Roman" w:cs="Times New Roman"/>
          <w:b/>
          <w:bCs/>
          <w:szCs w:val="21"/>
        </w:rPr>
      </w:pPr>
      <w:r w:rsidRPr="00D41973">
        <w:rPr>
          <w:rFonts w:ascii="Times New Roman" w:hAnsi="Times New Roman" w:cs="Times New Roman"/>
          <w:b/>
          <w:bCs/>
          <w:szCs w:val="21"/>
        </w:rPr>
        <w:t>4.2 Content analysis: Interrater reliability on the annotation of types of clauses</w:t>
      </w:r>
    </w:p>
    <w:p w14:paraId="16AFC173" w14:textId="0C8C1E32" w:rsidR="00990DF3" w:rsidRPr="00D41973" w:rsidRDefault="00000000" w:rsidP="00D41973">
      <w:pPr>
        <w:spacing w:line="240" w:lineRule="auto"/>
        <w:ind w:firstLineChars="100" w:firstLine="211"/>
        <w:rPr>
          <w:rFonts w:ascii="Times New Roman" w:hAnsi="Times New Roman" w:cs="Times New Roman" w:hint="eastAsia"/>
          <w:b/>
          <w:bCs/>
          <w:szCs w:val="21"/>
        </w:rPr>
      </w:pPr>
      <w:r w:rsidRPr="00D41973">
        <w:rPr>
          <w:rFonts w:ascii="Times New Roman" w:hAnsi="Times New Roman" w:cs="Times New Roman"/>
          <w:b/>
          <w:bCs/>
          <w:szCs w:val="21"/>
        </w:rPr>
        <w:t>4.3 Metaphor construction: A cross-cultural perspective</w:t>
      </w:r>
    </w:p>
    <w:p w14:paraId="76F48AE5" w14:textId="2B415F1C" w:rsidR="00990DF3" w:rsidRPr="00D41973" w:rsidRDefault="00000000" w:rsidP="000A4D97">
      <w:pPr>
        <w:spacing w:line="240" w:lineRule="auto"/>
        <w:rPr>
          <w:rFonts w:ascii="Times New Roman" w:hAnsi="Times New Roman" w:cs="Times New Roman" w:hint="eastAsia"/>
          <w:b/>
          <w:bCs/>
          <w:sz w:val="24"/>
        </w:rPr>
      </w:pPr>
      <w:r w:rsidRPr="00D41973">
        <w:rPr>
          <w:rFonts w:ascii="Times New Roman" w:hAnsi="Times New Roman" w:cs="Times New Roman"/>
          <w:b/>
          <w:bCs/>
          <w:sz w:val="24"/>
        </w:rPr>
        <w:t>5 Discussion</w:t>
      </w:r>
    </w:p>
    <w:p w14:paraId="1E8166A9" w14:textId="77777777" w:rsidR="00990DF3" w:rsidRPr="00D41973" w:rsidRDefault="00000000" w:rsidP="000A4D97">
      <w:pPr>
        <w:spacing w:line="240" w:lineRule="auto"/>
        <w:rPr>
          <w:rFonts w:ascii="Times New Roman" w:hAnsi="Times New Roman" w:cs="Times New Roman"/>
          <w:b/>
          <w:bCs/>
          <w:sz w:val="24"/>
        </w:rPr>
      </w:pPr>
      <w:r w:rsidRPr="00D41973">
        <w:rPr>
          <w:rFonts w:ascii="Times New Roman" w:hAnsi="Times New Roman" w:cs="Times New Roman"/>
          <w:b/>
          <w:bCs/>
          <w:sz w:val="24"/>
        </w:rPr>
        <w:t>6 Conclusion</w:t>
      </w:r>
    </w:p>
    <w:p w14:paraId="324546A2" w14:textId="1EE48BF1" w:rsidR="00990DF3" w:rsidRPr="000A4D97" w:rsidRDefault="00000000" w:rsidP="002A36F4">
      <w:pPr>
        <w:spacing w:line="240" w:lineRule="auto"/>
        <w:ind w:firstLineChars="100" w:firstLine="210"/>
        <w:rPr>
          <w:rFonts w:ascii="Times New Roman" w:hAnsi="Times New Roman" w:cs="Times New Roman" w:hint="eastAsia"/>
          <w:szCs w:val="21"/>
        </w:rPr>
      </w:pPr>
      <w:r w:rsidRPr="002A36F4">
        <w:rPr>
          <w:rFonts w:ascii="Times New Roman" w:hAnsi="Times New Roman" w:cs="Times New Roman"/>
          <w:szCs w:val="21"/>
        </w:rPr>
        <w:t>The think-aloud data supported the existence of mental processes described in the model, including content description, metaphor construction, and evaluation. The analysis also revealed cultural differences in the number of clauses produced and the types of categories used.</w:t>
      </w:r>
    </w:p>
    <w:p w14:paraId="510E72A1" w14:textId="7F73F756" w:rsidR="00990DF3" w:rsidRPr="002A36F4" w:rsidRDefault="00000000" w:rsidP="000A4D97">
      <w:pPr>
        <w:spacing w:line="240" w:lineRule="auto"/>
        <w:rPr>
          <w:rFonts w:ascii="Times New Roman" w:hAnsi="Times New Roman" w:cs="Times New Roman" w:hint="eastAsia"/>
          <w:b/>
          <w:bCs/>
          <w:sz w:val="24"/>
        </w:rPr>
      </w:pPr>
      <w:r w:rsidRPr="002A36F4">
        <w:rPr>
          <w:rFonts w:ascii="Times New Roman" w:hAnsi="Times New Roman" w:cs="Times New Roman"/>
          <w:b/>
          <w:bCs/>
          <w:sz w:val="24"/>
        </w:rPr>
        <w:t>About the authors</w:t>
      </w:r>
    </w:p>
    <w:p w14:paraId="32505EC9" w14:textId="77777777" w:rsidR="00990DF3" w:rsidRPr="002A36F4" w:rsidRDefault="00000000" w:rsidP="000A4D97">
      <w:pPr>
        <w:spacing w:line="240" w:lineRule="auto"/>
        <w:rPr>
          <w:rFonts w:ascii="Times New Roman" w:hAnsi="Times New Roman" w:cs="Times New Roman"/>
          <w:b/>
          <w:bCs/>
          <w:sz w:val="24"/>
        </w:rPr>
      </w:pPr>
      <w:r w:rsidRPr="002A36F4">
        <w:rPr>
          <w:rFonts w:ascii="Times New Roman" w:hAnsi="Times New Roman" w:cs="Times New Roman"/>
          <w:b/>
          <w:bCs/>
          <w:sz w:val="24"/>
        </w:rPr>
        <w:t>References</w:t>
      </w:r>
    </w:p>
    <w:sectPr w:rsidR="00990DF3" w:rsidRPr="002A36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068A8" w14:textId="77777777" w:rsidR="00B95E7B" w:rsidRDefault="00B95E7B" w:rsidP="000A4D97">
      <w:pPr>
        <w:spacing w:after="0" w:line="240" w:lineRule="auto"/>
      </w:pPr>
      <w:r>
        <w:separator/>
      </w:r>
    </w:p>
  </w:endnote>
  <w:endnote w:type="continuationSeparator" w:id="0">
    <w:p w14:paraId="67576B0E" w14:textId="77777777" w:rsidR="00B95E7B" w:rsidRDefault="00B95E7B" w:rsidP="000A4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F275B" w14:textId="77777777" w:rsidR="00B95E7B" w:rsidRDefault="00B95E7B" w:rsidP="000A4D97">
      <w:pPr>
        <w:spacing w:after="0" w:line="240" w:lineRule="auto"/>
      </w:pPr>
      <w:r>
        <w:separator/>
      </w:r>
    </w:p>
  </w:footnote>
  <w:footnote w:type="continuationSeparator" w:id="0">
    <w:p w14:paraId="7DB7A684" w14:textId="77777777" w:rsidR="00B95E7B" w:rsidRDefault="00B95E7B" w:rsidP="000A4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7395C"/>
    <w:multiLevelType w:val="hybridMultilevel"/>
    <w:tmpl w:val="37FE73CC"/>
    <w:lvl w:ilvl="0" w:tplc="C89454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0F529C3"/>
    <w:multiLevelType w:val="hybridMultilevel"/>
    <w:tmpl w:val="38625356"/>
    <w:lvl w:ilvl="0" w:tplc="453C7E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7285849"/>
    <w:multiLevelType w:val="hybridMultilevel"/>
    <w:tmpl w:val="3CCCBF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5A10BBA"/>
    <w:multiLevelType w:val="hybridMultilevel"/>
    <w:tmpl w:val="C82A85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1CE4C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87235734">
    <w:abstractNumId w:val="2"/>
  </w:num>
  <w:num w:numId="2" w16cid:durableId="1667243479">
    <w:abstractNumId w:val="4"/>
  </w:num>
  <w:num w:numId="3" w16cid:durableId="416635011">
    <w:abstractNumId w:val="3"/>
  </w:num>
  <w:num w:numId="4" w16cid:durableId="1979215965">
    <w:abstractNumId w:val="0"/>
  </w:num>
  <w:num w:numId="5" w16cid:durableId="2126996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0DF3"/>
    <w:rsid w:val="000A4D97"/>
    <w:rsid w:val="00231824"/>
    <w:rsid w:val="002A36F4"/>
    <w:rsid w:val="007136A9"/>
    <w:rsid w:val="008E59F3"/>
    <w:rsid w:val="00990DF3"/>
    <w:rsid w:val="00B95E7B"/>
    <w:rsid w:val="00D41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97B3DD"/>
  <w15:docId w15:val="{EF97360C-B865-4538-82CC-E1AACF65C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A4D97"/>
    <w:pP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0A4D97"/>
    <w:rPr>
      <w:rFonts w:asciiTheme="minorHAnsi" w:eastAsiaTheme="minorEastAsia" w:hAnsiTheme="minorHAnsi" w:cstheme="minorBidi"/>
      <w:kern w:val="2"/>
      <w:sz w:val="18"/>
      <w:szCs w:val="18"/>
    </w:rPr>
  </w:style>
  <w:style w:type="paragraph" w:styleId="a5">
    <w:name w:val="footer"/>
    <w:basedOn w:val="a"/>
    <w:link w:val="a6"/>
    <w:rsid w:val="000A4D97"/>
    <w:pPr>
      <w:tabs>
        <w:tab w:val="center" w:pos="4153"/>
        <w:tab w:val="right" w:pos="8306"/>
      </w:tabs>
      <w:snapToGrid w:val="0"/>
      <w:spacing w:line="240" w:lineRule="auto"/>
      <w:jc w:val="left"/>
    </w:pPr>
    <w:rPr>
      <w:sz w:val="18"/>
      <w:szCs w:val="18"/>
    </w:rPr>
  </w:style>
  <w:style w:type="character" w:customStyle="1" w:styleId="a6">
    <w:name w:val="页脚 字符"/>
    <w:basedOn w:val="a0"/>
    <w:link w:val="a5"/>
    <w:rsid w:val="000A4D97"/>
    <w:rPr>
      <w:rFonts w:asciiTheme="minorHAnsi" w:eastAsiaTheme="minorEastAsia" w:hAnsiTheme="minorHAnsi" w:cstheme="minorBidi"/>
      <w:kern w:val="2"/>
      <w:sz w:val="18"/>
      <w:szCs w:val="18"/>
    </w:rPr>
  </w:style>
  <w:style w:type="paragraph" w:styleId="a7">
    <w:name w:val="List Paragraph"/>
    <w:basedOn w:val="a"/>
    <w:uiPriority w:val="99"/>
    <w:unhideWhenUsed/>
    <w:rsid w:val="000A4D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倩颖 朱</cp:lastModifiedBy>
  <cp:revision>3</cp:revision>
  <dcterms:created xsi:type="dcterms:W3CDTF">2024-06-06T03:35:00Z</dcterms:created>
  <dcterms:modified xsi:type="dcterms:W3CDTF">2024-06-05T19:59:00Z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vt:lpwstr>
  </property>
  <property fmtid="{D5CDD505-2E9C-101B-9397-08002B2CF9AE}" pid="3" name="ICV">
    <vt:lpwstr>DF658003FD191D30EABD6066E047B3A0_31</vt:lpwstr>
  </property>
</Properties>
</file>