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679" w:rsidRDefault="008D3A14" w:rsidP="002D6679">
      <w:pPr>
        <w:widowControl/>
        <w:spacing w:beforeLines="100" w:before="312" w:afterLines="50" w:after="156"/>
        <w:ind w:right="278"/>
        <w:jc w:val="center"/>
        <w:rPr>
          <w:rFonts w:ascii="方正小标宋简体" w:eastAsia="方正小标宋简体" w:hAnsi="黑体" w:cs="宋体"/>
          <w:b/>
          <w:bCs/>
          <w:kern w:val="0"/>
          <w:sz w:val="40"/>
          <w:szCs w:val="40"/>
        </w:rPr>
      </w:pPr>
      <w:r w:rsidRPr="002D6679">
        <w:rPr>
          <w:rFonts w:ascii="方正小标宋简体" w:eastAsia="方正小标宋简体" w:hAnsi="黑体" w:cs="宋体" w:hint="eastAsia"/>
          <w:b/>
          <w:bCs/>
          <w:kern w:val="0"/>
          <w:sz w:val="40"/>
          <w:szCs w:val="40"/>
        </w:rPr>
        <w:t>教育部关于开展普通高等学校本科</w:t>
      </w:r>
    </w:p>
    <w:p w:rsidR="008D3A14" w:rsidRPr="002D6679" w:rsidRDefault="008D3A14" w:rsidP="002D6679">
      <w:pPr>
        <w:widowControl/>
        <w:spacing w:beforeLines="50" w:before="156" w:afterLines="100" w:after="312"/>
        <w:ind w:right="278"/>
        <w:jc w:val="center"/>
        <w:rPr>
          <w:rFonts w:ascii="方正小标宋简体" w:eastAsia="方正小标宋简体" w:hAnsi="宋体" w:cs="宋体" w:hint="eastAsia"/>
          <w:kern w:val="0"/>
          <w:sz w:val="40"/>
          <w:szCs w:val="40"/>
        </w:rPr>
      </w:pPr>
      <w:r w:rsidRPr="002D6679">
        <w:rPr>
          <w:rFonts w:ascii="方正小标宋简体" w:eastAsia="方正小标宋简体" w:hAnsi="黑体" w:cs="宋体" w:hint="eastAsia"/>
          <w:b/>
          <w:bCs/>
          <w:kern w:val="0"/>
          <w:sz w:val="40"/>
          <w:szCs w:val="40"/>
        </w:rPr>
        <w:t>教学工作审核评估的通知</w:t>
      </w:r>
    </w:p>
    <w:p w:rsidR="002D6679" w:rsidRDefault="002D6679" w:rsidP="002D6679">
      <w:pPr>
        <w:widowControl/>
        <w:spacing w:line="240" w:lineRule="exact"/>
        <w:jc w:val="right"/>
        <w:rPr>
          <w:rFonts w:ascii="仿宋_GB2312" w:eastAsia="仿宋_GB2312" w:hAnsi="宋体" w:cs="宋体"/>
          <w:kern w:val="0"/>
          <w:sz w:val="32"/>
          <w:szCs w:val="32"/>
        </w:rPr>
      </w:pPr>
    </w:p>
    <w:p w:rsidR="008D3A14" w:rsidRPr="002D6679" w:rsidRDefault="008D3A14" w:rsidP="002D6679">
      <w:pPr>
        <w:widowControl/>
        <w:spacing w:before="100" w:beforeAutospacing="1" w:after="100" w:afterAutospacing="1" w:line="520" w:lineRule="exact"/>
        <w:jc w:val="right"/>
        <w:rPr>
          <w:rFonts w:ascii="宋体" w:eastAsia="宋体" w:hAnsi="宋体" w:cs="宋体"/>
          <w:kern w:val="0"/>
          <w:sz w:val="32"/>
          <w:szCs w:val="32"/>
        </w:rPr>
      </w:pPr>
      <w:proofErr w:type="gramStart"/>
      <w:r w:rsidRPr="002D6679">
        <w:rPr>
          <w:rFonts w:ascii="仿宋_GB2312" w:eastAsia="仿宋_GB2312" w:hAnsi="宋体" w:cs="宋体" w:hint="eastAsia"/>
          <w:kern w:val="0"/>
          <w:sz w:val="32"/>
          <w:szCs w:val="32"/>
        </w:rPr>
        <w:t>教高〔2013〕</w:t>
      </w:r>
      <w:proofErr w:type="gramEnd"/>
      <w:r w:rsidRPr="002D6679">
        <w:rPr>
          <w:rFonts w:ascii="仿宋_GB2312" w:eastAsia="仿宋_GB2312" w:hAnsi="宋体" w:cs="宋体" w:hint="eastAsia"/>
          <w:kern w:val="0"/>
          <w:sz w:val="32"/>
          <w:szCs w:val="32"/>
        </w:rPr>
        <w:t xml:space="preserve">10号 </w:t>
      </w:r>
    </w:p>
    <w:p w:rsidR="008D3A14" w:rsidRPr="002D6679" w:rsidRDefault="008D3A14" w:rsidP="002D6679">
      <w:pPr>
        <w:widowControl/>
        <w:jc w:val="right"/>
        <w:rPr>
          <w:rFonts w:ascii="仿宋_GB2312" w:eastAsia="仿宋_GB2312" w:hAnsi="宋体" w:cs="宋体"/>
          <w:kern w:val="0"/>
          <w:sz w:val="32"/>
          <w:szCs w:val="32"/>
        </w:rPr>
      </w:pPr>
      <w:r w:rsidRPr="002D6679">
        <w:rPr>
          <w:rFonts w:ascii="仿宋_GB2312" w:eastAsia="仿宋_GB2312" w:hAnsi="宋体" w:cs="宋体" w:hint="eastAsia"/>
          <w:kern w:val="0"/>
          <w:sz w:val="32"/>
          <w:szCs w:val="32"/>
        </w:rPr>
        <w:t xml:space="preserve"> </w:t>
      </w:r>
    </w:p>
    <w:p w:rsidR="008D3A14" w:rsidRPr="002D6679" w:rsidRDefault="008D3A14" w:rsidP="002D6679">
      <w:pPr>
        <w:widowControl/>
        <w:spacing w:before="100" w:beforeAutospacing="1" w:after="250" w:line="520" w:lineRule="exact"/>
        <w:jc w:val="left"/>
        <w:rPr>
          <w:rFonts w:ascii="宋体" w:eastAsia="宋体" w:hAnsi="宋体" w:cs="宋体"/>
          <w:kern w:val="0"/>
          <w:sz w:val="32"/>
          <w:szCs w:val="32"/>
        </w:rPr>
      </w:pPr>
      <w:r w:rsidRPr="002D6679">
        <w:rPr>
          <w:rFonts w:ascii="仿宋_GB2312" w:eastAsia="仿宋_GB2312" w:hAnsi="宋体" w:cs="宋体" w:hint="eastAsia"/>
          <w:kern w:val="0"/>
          <w:sz w:val="32"/>
          <w:szCs w:val="32"/>
        </w:rPr>
        <w:t>各省、自治区、直辖市教育厅（教委），有关部门（单位）教育司（局），部属各高等学校：</w:t>
      </w:r>
    </w:p>
    <w:p w:rsidR="008D3A14" w:rsidRPr="002D6679" w:rsidRDefault="008D3A14" w:rsidP="002D6679">
      <w:pPr>
        <w:widowControl/>
        <w:spacing w:before="100" w:beforeAutospacing="1" w:after="250" w:line="520" w:lineRule="exact"/>
        <w:jc w:val="left"/>
        <w:rPr>
          <w:rFonts w:ascii="宋体" w:eastAsia="宋体" w:hAnsi="宋体" w:cs="宋体"/>
          <w:kern w:val="0"/>
          <w:sz w:val="32"/>
          <w:szCs w:val="32"/>
        </w:rPr>
      </w:pPr>
      <w:r w:rsidRPr="002D6679">
        <w:rPr>
          <w:rFonts w:ascii="仿宋_GB2312" w:eastAsia="仿宋_GB2312" w:hAnsi="宋体" w:cs="宋体" w:hint="eastAsia"/>
          <w:kern w:val="0"/>
          <w:sz w:val="32"/>
          <w:szCs w:val="32"/>
        </w:rPr>
        <w:t xml:space="preserve">  </w:t>
      </w:r>
      <w:r w:rsidRPr="002D6679">
        <w:rPr>
          <w:rFonts w:ascii="仿宋_GB2312" w:eastAsia="仿宋_GB2312" w:hAnsi="宋体" w:cs="宋体"/>
          <w:kern w:val="0"/>
          <w:sz w:val="32"/>
          <w:szCs w:val="32"/>
        </w:rPr>
        <w:t xml:space="preserve">  </w:t>
      </w:r>
      <w:r w:rsidRPr="002D6679">
        <w:rPr>
          <w:rFonts w:ascii="仿宋_GB2312" w:eastAsia="仿宋_GB2312" w:hAnsi="宋体" w:cs="宋体" w:hint="eastAsia"/>
          <w:kern w:val="0"/>
          <w:sz w:val="32"/>
          <w:szCs w:val="32"/>
        </w:rPr>
        <w:t>为贯彻党的十八大和十八届三中全会精神，落实教育规划纲要，切实推进高等教育内涵式发展，提高本科教学水平和人才培养质量，根据《教育部关于普通高等学校本科教学评估工作的意见》（</w:t>
      </w:r>
      <w:proofErr w:type="gramStart"/>
      <w:r w:rsidRPr="002D6679">
        <w:rPr>
          <w:rFonts w:ascii="仿宋_GB2312" w:eastAsia="仿宋_GB2312" w:hAnsi="宋体" w:cs="宋体" w:hint="eastAsia"/>
          <w:kern w:val="0"/>
          <w:sz w:val="32"/>
          <w:szCs w:val="32"/>
        </w:rPr>
        <w:t>教高〔2011〕</w:t>
      </w:r>
      <w:proofErr w:type="gramEnd"/>
      <w:r w:rsidRPr="002D6679">
        <w:rPr>
          <w:rFonts w:ascii="仿宋_GB2312" w:eastAsia="仿宋_GB2312" w:hAnsi="宋体" w:cs="宋体" w:hint="eastAsia"/>
          <w:kern w:val="0"/>
          <w:sz w:val="32"/>
          <w:szCs w:val="32"/>
        </w:rPr>
        <w:t>9号）要求，决定开展普通高等学校本科教学工作审核评估，现将《普通高等学校本科教学工作审核评估方案》（见附件）印发给你们。</w:t>
      </w:r>
    </w:p>
    <w:p w:rsidR="008D3A14" w:rsidRPr="002D6679" w:rsidRDefault="008D3A14" w:rsidP="002D6679">
      <w:pPr>
        <w:widowControl/>
        <w:spacing w:before="100" w:beforeAutospacing="1" w:after="250" w:line="520" w:lineRule="exact"/>
        <w:jc w:val="left"/>
        <w:rPr>
          <w:rFonts w:ascii="宋体" w:eastAsia="宋体" w:hAnsi="宋体" w:cs="宋体"/>
          <w:kern w:val="0"/>
          <w:sz w:val="32"/>
          <w:szCs w:val="32"/>
        </w:rPr>
      </w:pPr>
      <w:r w:rsidRPr="002D6679">
        <w:rPr>
          <w:rFonts w:ascii="仿宋_GB2312" w:eastAsia="仿宋_GB2312" w:hAnsi="宋体" w:cs="宋体" w:hint="eastAsia"/>
          <w:kern w:val="0"/>
          <w:sz w:val="32"/>
          <w:szCs w:val="32"/>
        </w:rPr>
        <w:t xml:space="preserve">    审核评估是在我国高等教育新形势下，总结已有评估经验，借鉴国外先进评估思想的基础上，提出的新型评估模式，核心是对学校人才培养目标与培养效果的实现状况进行评价，旨在推进人才培养多样化，强调尊重学校办学自主权，体现学校在人才培养质量中的主体地位。各地教育行政部门和有关高等学校要深入研究，充分认识审核评估的意义。通过审核评估加强政府对高等学校的宏观管理和分类指导，引导高等学校合理定位、全面落实人才培养中心地位，健全质量保障体系，办出水平、办出特色，切实提高人才培养质量。</w:t>
      </w:r>
    </w:p>
    <w:p w:rsidR="008D3A14" w:rsidRPr="002D6679" w:rsidRDefault="002D6679" w:rsidP="002D6679">
      <w:pPr>
        <w:widowControl/>
        <w:spacing w:before="100" w:beforeAutospacing="1" w:after="250" w:line="520" w:lineRule="exact"/>
        <w:jc w:val="left"/>
        <w:rPr>
          <w:rFonts w:ascii="宋体" w:eastAsia="宋体" w:hAnsi="宋体" w:cs="宋体"/>
          <w:kern w:val="0"/>
          <w:sz w:val="32"/>
          <w:szCs w:val="32"/>
        </w:rPr>
      </w:pPr>
      <w:r>
        <w:rPr>
          <w:rFonts w:ascii="仿宋_GB2312" w:eastAsia="仿宋_GB2312" w:hAnsi="宋体" w:cs="宋体" w:hint="eastAsia"/>
          <w:kern w:val="0"/>
          <w:sz w:val="32"/>
          <w:szCs w:val="32"/>
        </w:rPr>
        <w:lastRenderedPageBreak/>
        <w:t xml:space="preserve">    </w:t>
      </w:r>
      <w:r w:rsidR="008D3A14" w:rsidRPr="002D6679">
        <w:rPr>
          <w:rFonts w:ascii="仿宋_GB2312" w:eastAsia="仿宋_GB2312" w:hAnsi="宋体" w:cs="宋体" w:hint="eastAsia"/>
          <w:kern w:val="0"/>
          <w:sz w:val="32"/>
          <w:szCs w:val="32"/>
        </w:rPr>
        <w:t>审核评估实行中央和省级政府分级负责，各省、自治区、直辖市教育行政部门应按照《普通高等学校本科教学工作审核评估方案》的规定和要求，结合本地区高等教育发展需要，制定本地区所属高等学校审核评估具体方案和评估计划。中央部委所属高等学校的审核评估由教育部高等教育教学评估中心负责实施。要充分发挥第三方评估的作用，先行试点，逐步推开，有计划有步骤地组织实施高等学校的审核评估工作。</w:t>
      </w:r>
    </w:p>
    <w:p w:rsidR="002D6679" w:rsidRDefault="008D3A14" w:rsidP="002D6679">
      <w:pPr>
        <w:widowControl/>
        <w:spacing w:before="100" w:beforeAutospacing="1" w:after="250" w:line="520" w:lineRule="exact"/>
        <w:ind w:firstLine="645"/>
        <w:jc w:val="left"/>
        <w:rPr>
          <w:rFonts w:ascii="宋体" w:eastAsia="宋体" w:hAnsi="宋体" w:cs="宋体"/>
          <w:kern w:val="0"/>
          <w:sz w:val="32"/>
          <w:szCs w:val="32"/>
        </w:rPr>
      </w:pPr>
      <w:r w:rsidRPr="002D6679">
        <w:rPr>
          <w:rFonts w:ascii="仿宋_GB2312" w:eastAsia="仿宋_GB2312" w:hAnsi="宋体" w:cs="宋体" w:hint="eastAsia"/>
          <w:kern w:val="0"/>
          <w:sz w:val="32"/>
          <w:szCs w:val="32"/>
        </w:rPr>
        <w:t>在审核评估过程中要实行信息公开制度，严肃评估纪律，开展“阳光评估”，确保评估工作有序、规范、公平、公正。教育部设立举报电话和信箱（010-66096713，北京市西城区大木仓胡同37号教育部高等教育司评估处，100816）接受社会各方监督。</w:t>
      </w:r>
    </w:p>
    <w:p w:rsidR="008D3A14" w:rsidRPr="002D6679" w:rsidRDefault="008D3A14" w:rsidP="002D6679">
      <w:pPr>
        <w:widowControl/>
        <w:spacing w:before="100" w:beforeAutospacing="1" w:after="250" w:line="520" w:lineRule="exact"/>
        <w:ind w:firstLine="645"/>
        <w:jc w:val="left"/>
        <w:rPr>
          <w:rFonts w:ascii="宋体" w:eastAsia="宋体" w:hAnsi="宋体" w:cs="宋体"/>
          <w:kern w:val="0"/>
          <w:sz w:val="32"/>
          <w:szCs w:val="32"/>
        </w:rPr>
      </w:pPr>
      <w:r w:rsidRPr="002D6679">
        <w:rPr>
          <w:rFonts w:ascii="仿宋_GB2312" w:eastAsia="仿宋_GB2312" w:hAnsi="宋体" w:cs="宋体" w:hint="eastAsia"/>
          <w:kern w:val="0"/>
          <w:sz w:val="32"/>
          <w:szCs w:val="32"/>
        </w:rPr>
        <w:t>附件：</w:t>
      </w:r>
      <w:r w:rsidRPr="002D6679">
        <w:rPr>
          <w:rFonts w:ascii="仿宋_GB2312" w:eastAsia="仿宋_GB2312" w:hAnsi="宋体" w:cs="宋体"/>
          <w:noProof/>
          <w:kern w:val="0"/>
          <w:sz w:val="32"/>
          <w:szCs w:val="32"/>
        </w:rPr>
        <mc:AlternateContent>
          <mc:Choice Requires="wps">
            <w:drawing>
              <wp:inline distT="0" distB="0" distL="0" distR="0">
                <wp:extent cx="152400" cy="152400"/>
                <wp:effectExtent l="0" t="0" r="0" b="0"/>
                <wp:docPr id="2" name="矩形 2" descr="http://jwc.fjnu.edu.cn/17/59/c326a5977/page.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0001F" id="矩形 2" o:spid="_x0000_s1026" alt="http://jwc.fjnu.edu.cn/17/59/c326a5977/page.htm"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" filled="f" stroked="f">
                <o:lock v:ext="edit" aspectratio="t"/>
                <w10:anchorlock/>
              </v:rect>
            </w:pict>
          </mc:Fallback>
        </mc:AlternateContent>
      </w:r>
      <w:hyperlink r:id="rId7" w:history="1">
        <w:r w:rsidRPr="002D6679">
          <w:rPr>
            <w:rFonts w:ascii="仿宋_GB2312" w:eastAsia="仿宋_GB2312" w:hAnsi="宋体" w:cs="宋体" w:hint="eastAsia"/>
            <w:color w:val="000000"/>
            <w:kern w:val="0"/>
            <w:sz w:val="32"/>
            <w:szCs w:val="32"/>
          </w:rPr>
          <w:t>普通高等学校本科教学工作审核评估方案.</w:t>
        </w:r>
        <w:proofErr w:type="gramStart"/>
        <w:r w:rsidRPr="002D6679">
          <w:rPr>
            <w:rFonts w:ascii="仿宋_GB2312" w:eastAsia="仿宋_GB2312" w:hAnsi="宋体" w:cs="宋体" w:hint="eastAsia"/>
            <w:color w:val="000000"/>
            <w:kern w:val="0"/>
            <w:sz w:val="32"/>
            <w:szCs w:val="32"/>
          </w:rPr>
          <w:t>doc</w:t>
        </w:r>
        <w:proofErr w:type="gramEnd"/>
      </w:hyperlink>
    </w:p>
    <w:p w:rsidR="002D6679" w:rsidRPr="002D6679" w:rsidRDefault="002D6679" w:rsidP="002D6679">
      <w:pPr>
        <w:widowControl/>
        <w:spacing w:before="100" w:beforeAutospacing="1" w:after="250" w:line="520" w:lineRule="exact"/>
        <w:jc w:val="left"/>
        <w:rPr>
          <w:rFonts w:ascii="宋体" w:eastAsia="宋体" w:hAnsi="宋体" w:cs="宋体"/>
          <w:kern w:val="0"/>
          <w:sz w:val="32"/>
          <w:szCs w:val="32"/>
        </w:rPr>
      </w:pPr>
    </w:p>
    <w:p w:rsidR="008D3A14" w:rsidRPr="002D6679" w:rsidRDefault="002D6679" w:rsidP="002D6679">
      <w:pPr>
        <w:widowControl/>
        <w:spacing w:before="100" w:beforeAutospacing="1" w:after="250" w:line="520" w:lineRule="exact"/>
        <w:jc w:val="center"/>
        <w:rPr>
          <w:rFonts w:ascii="宋体" w:eastAsia="宋体" w:hAnsi="宋体" w:cs="宋体"/>
          <w:kern w:val="0"/>
          <w:sz w:val="32"/>
          <w:szCs w:val="32"/>
        </w:rPr>
      </w:pPr>
      <w:r>
        <w:rPr>
          <w:rFonts w:ascii="仿宋_GB2312" w:eastAsia="仿宋_GB2312" w:hAnsi="宋体" w:cs="宋体"/>
          <w:kern w:val="0"/>
          <w:sz w:val="32"/>
          <w:szCs w:val="32"/>
        </w:rPr>
        <w:t xml:space="preserve">                         </w:t>
      </w:r>
      <w:r w:rsidR="008D3A14" w:rsidRPr="002D6679">
        <w:rPr>
          <w:rFonts w:ascii="仿宋_GB2312" w:eastAsia="仿宋_GB2312" w:hAnsi="宋体" w:cs="宋体" w:hint="eastAsia"/>
          <w:kern w:val="0"/>
          <w:sz w:val="32"/>
          <w:szCs w:val="32"/>
        </w:rPr>
        <w:t xml:space="preserve">               教育部</w:t>
      </w:r>
    </w:p>
    <w:p w:rsidR="00E068B4" w:rsidRDefault="008D3A14" w:rsidP="002D6679">
      <w:pPr>
        <w:spacing w:line="520" w:lineRule="exact"/>
        <w:jc w:val="right"/>
        <w:rPr>
          <w:rFonts w:ascii="仿宋_GB2312" w:eastAsia="仿宋_GB2312" w:hAnsi="宋体" w:cs="宋体"/>
          <w:kern w:val="0"/>
          <w:sz w:val="32"/>
          <w:szCs w:val="32"/>
        </w:rPr>
        <w:sectPr w:rsidR="00E068B4" w:rsidSect="00E068B4">
          <w:pgSz w:w="11906" w:h="16838"/>
          <w:pgMar w:top="1418" w:right="1418" w:bottom="1418" w:left="1418" w:header="851" w:footer="992" w:gutter="0"/>
          <w:cols w:space="425"/>
          <w:docGrid w:type="linesAndChars" w:linePitch="312"/>
        </w:sectPr>
      </w:pPr>
      <w:r w:rsidRPr="002D6679">
        <w:rPr>
          <w:rFonts w:ascii="仿宋_GB2312" w:eastAsia="仿宋_GB2312" w:hAnsi="宋体" w:cs="宋体" w:hint="eastAsia"/>
          <w:kern w:val="0"/>
          <w:sz w:val="32"/>
          <w:szCs w:val="32"/>
        </w:rPr>
        <w:t xml:space="preserve">                 2013年12月5日</w:t>
      </w:r>
    </w:p>
    <w:p w:rsidR="00E068B4" w:rsidRPr="00944CE1" w:rsidRDefault="00E068B4" w:rsidP="00E068B4">
      <w:pPr>
        <w:snapToGrid w:val="0"/>
        <w:spacing w:line="480" w:lineRule="exact"/>
        <w:rPr>
          <w:rFonts w:ascii="黑体" w:eastAsia="黑体" w:hAnsi="黑体" w:hint="eastAsia"/>
          <w:sz w:val="32"/>
          <w:szCs w:val="32"/>
        </w:rPr>
      </w:pPr>
      <w:r>
        <w:rPr>
          <w:rFonts w:ascii="黑体" w:eastAsia="黑体" w:hAnsi="黑体" w:hint="eastAsia"/>
          <w:sz w:val="32"/>
          <w:szCs w:val="32"/>
        </w:rPr>
        <w:lastRenderedPageBreak/>
        <w:t>附件</w:t>
      </w:r>
    </w:p>
    <w:p w:rsidR="00E068B4" w:rsidRDefault="00E068B4" w:rsidP="00E068B4">
      <w:pPr>
        <w:snapToGrid w:val="0"/>
        <w:spacing w:line="480" w:lineRule="exact"/>
        <w:rPr>
          <w:rFonts w:ascii="黑体" w:eastAsia="黑体" w:hAnsi="黑体" w:hint="eastAsia"/>
          <w:sz w:val="40"/>
          <w:szCs w:val="40"/>
        </w:rPr>
      </w:pPr>
    </w:p>
    <w:p w:rsidR="00E068B4" w:rsidRDefault="00E068B4" w:rsidP="00E068B4">
      <w:pPr>
        <w:snapToGrid w:val="0"/>
        <w:spacing w:line="480" w:lineRule="exact"/>
        <w:rPr>
          <w:rFonts w:ascii="黑体" w:eastAsia="黑体" w:hAnsi="黑体" w:hint="eastAsia"/>
          <w:sz w:val="40"/>
          <w:szCs w:val="40"/>
        </w:rPr>
      </w:pPr>
    </w:p>
    <w:p w:rsidR="00E068B4" w:rsidRPr="00282BA9" w:rsidRDefault="00E068B4" w:rsidP="00E068B4">
      <w:pPr>
        <w:snapToGrid w:val="0"/>
        <w:spacing w:line="480" w:lineRule="exact"/>
        <w:rPr>
          <w:rFonts w:ascii="黑体" w:eastAsia="黑体" w:hAnsi="黑体" w:hint="eastAsia"/>
          <w:sz w:val="40"/>
          <w:szCs w:val="40"/>
        </w:rPr>
      </w:pPr>
    </w:p>
    <w:p w:rsidR="00E068B4" w:rsidRPr="00282BA9" w:rsidRDefault="00E068B4" w:rsidP="00E068B4">
      <w:pPr>
        <w:snapToGrid w:val="0"/>
        <w:spacing w:line="480" w:lineRule="exact"/>
        <w:rPr>
          <w:rFonts w:ascii="黑体" w:eastAsia="黑体" w:hAnsi="黑体" w:hint="eastAsia"/>
          <w:sz w:val="40"/>
          <w:szCs w:val="40"/>
        </w:rPr>
      </w:pPr>
    </w:p>
    <w:p w:rsidR="00E068B4" w:rsidRPr="00C211E5" w:rsidRDefault="00E068B4" w:rsidP="00E068B4">
      <w:pPr>
        <w:snapToGrid w:val="0"/>
        <w:spacing w:line="480" w:lineRule="exact"/>
        <w:jc w:val="center"/>
        <w:rPr>
          <w:rFonts w:ascii="黑体" w:eastAsia="黑体" w:hAnsi="黑体" w:hint="eastAsia"/>
          <w:sz w:val="40"/>
          <w:szCs w:val="40"/>
        </w:rPr>
      </w:pPr>
      <w:r w:rsidRPr="00C211E5">
        <w:rPr>
          <w:rFonts w:ascii="黑体" w:eastAsia="黑体" w:hAnsi="黑体" w:hint="eastAsia"/>
          <w:sz w:val="40"/>
          <w:szCs w:val="40"/>
        </w:rPr>
        <w:t>普通高等学校本科教学工作审核评估方案</w:t>
      </w:r>
    </w:p>
    <w:p w:rsidR="00E068B4" w:rsidRPr="00282BA9" w:rsidRDefault="00E068B4" w:rsidP="00E068B4">
      <w:pPr>
        <w:snapToGrid w:val="0"/>
        <w:spacing w:line="480" w:lineRule="exact"/>
        <w:jc w:val="center"/>
        <w:rPr>
          <w:rFonts w:ascii="黑体" w:eastAsia="黑体" w:hAnsi="黑体" w:hint="eastAsia"/>
          <w:sz w:val="36"/>
          <w:szCs w:val="36"/>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Default="00E068B4" w:rsidP="00E068B4">
      <w:pPr>
        <w:snapToGrid w:val="0"/>
        <w:spacing w:line="480" w:lineRule="exact"/>
        <w:jc w:val="center"/>
        <w:rPr>
          <w:rFonts w:ascii="黑体" w:eastAsia="黑体" w:hAnsi="黑体" w:hint="eastAsia"/>
          <w:sz w:val="32"/>
          <w:szCs w:val="32"/>
        </w:rPr>
      </w:pPr>
    </w:p>
    <w:p w:rsidR="00E068B4"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C211E5" w:rsidRDefault="00E068B4" w:rsidP="00E068B4">
      <w:pPr>
        <w:snapToGrid w:val="0"/>
        <w:spacing w:line="480" w:lineRule="exact"/>
        <w:jc w:val="center"/>
        <w:rPr>
          <w:rFonts w:ascii="黑体" w:eastAsia="黑体" w:hAnsi="黑体" w:hint="eastAsia"/>
          <w:sz w:val="32"/>
          <w:szCs w:val="32"/>
        </w:rPr>
      </w:pPr>
      <w:r w:rsidRPr="00C211E5">
        <w:rPr>
          <w:rFonts w:ascii="黑体" w:eastAsia="黑体" w:hAnsi="黑体" w:hint="eastAsia"/>
          <w:sz w:val="32"/>
          <w:szCs w:val="32"/>
        </w:rPr>
        <w:t>教 育 部</w:t>
      </w:r>
    </w:p>
    <w:p w:rsidR="00E068B4" w:rsidRPr="00C211E5" w:rsidRDefault="00E068B4" w:rsidP="00E068B4">
      <w:pPr>
        <w:snapToGrid w:val="0"/>
        <w:spacing w:line="480" w:lineRule="exact"/>
        <w:jc w:val="center"/>
        <w:rPr>
          <w:rFonts w:ascii="黑体" w:eastAsia="黑体" w:hAnsi="黑体" w:hint="eastAsia"/>
          <w:sz w:val="32"/>
          <w:szCs w:val="32"/>
        </w:rPr>
      </w:pPr>
    </w:p>
    <w:p w:rsidR="00E068B4" w:rsidRPr="00C211E5" w:rsidRDefault="00E068B4" w:rsidP="00E068B4">
      <w:pPr>
        <w:snapToGrid w:val="0"/>
        <w:spacing w:line="480" w:lineRule="exact"/>
        <w:jc w:val="center"/>
        <w:rPr>
          <w:rFonts w:ascii="黑体" w:eastAsia="黑体" w:hAnsi="黑体" w:hint="eastAsia"/>
          <w:sz w:val="32"/>
          <w:szCs w:val="32"/>
        </w:rPr>
      </w:pPr>
      <w:r w:rsidRPr="00C211E5">
        <w:rPr>
          <w:rFonts w:ascii="黑体" w:eastAsia="黑体" w:hAnsi="黑体" w:hint="eastAsia"/>
          <w:sz w:val="32"/>
          <w:szCs w:val="32"/>
        </w:rPr>
        <w:t>二</w:t>
      </w:r>
      <w:r w:rsidRPr="00C211E5">
        <w:rPr>
          <w:rFonts w:ascii="黑体" w:eastAsia="黑体" w:hAnsi="宋体" w:hint="eastAsia"/>
          <w:b/>
          <w:spacing w:val="-20"/>
          <w:sz w:val="32"/>
          <w:szCs w:val="32"/>
        </w:rPr>
        <w:t>○</w:t>
      </w:r>
      <w:r w:rsidRPr="00C211E5">
        <w:rPr>
          <w:rFonts w:ascii="黑体" w:eastAsia="黑体" w:hAnsi="黑体" w:hint="eastAsia"/>
          <w:sz w:val="32"/>
          <w:szCs w:val="32"/>
        </w:rPr>
        <w:t>一三年十</w:t>
      </w:r>
      <w:r>
        <w:rPr>
          <w:rFonts w:ascii="黑体" w:eastAsia="黑体" w:hAnsi="黑体" w:hint="eastAsia"/>
          <w:sz w:val="32"/>
          <w:szCs w:val="32"/>
        </w:rPr>
        <w:t>二</w:t>
      </w:r>
      <w:r w:rsidRPr="00C211E5">
        <w:rPr>
          <w:rFonts w:ascii="黑体" w:eastAsia="黑体" w:hAnsi="黑体" w:hint="eastAsia"/>
          <w:sz w:val="32"/>
          <w:szCs w:val="32"/>
        </w:rPr>
        <w:t>月</w:t>
      </w: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301132"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C211E5" w:rsidRDefault="00E068B4" w:rsidP="00E068B4">
      <w:pPr>
        <w:snapToGrid w:val="0"/>
        <w:spacing w:line="480" w:lineRule="exact"/>
        <w:jc w:val="center"/>
        <w:rPr>
          <w:rFonts w:ascii="黑体" w:eastAsia="黑体" w:hAnsi="黑体" w:hint="eastAsia"/>
          <w:sz w:val="36"/>
          <w:szCs w:val="36"/>
        </w:rPr>
      </w:pPr>
      <w:r w:rsidRPr="00C211E5">
        <w:rPr>
          <w:rFonts w:ascii="黑体" w:eastAsia="黑体" w:hAnsi="黑体" w:hint="eastAsia"/>
          <w:sz w:val="36"/>
          <w:szCs w:val="36"/>
        </w:rPr>
        <w:t>目    录</w:t>
      </w:r>
    </w:p>
    <w:p w:rsidR="00E068B4" w:rsidRPr="00282BA9" w:rsidRDefault="00E068B4" w:rsidP="00E068B4">
      <w:pPr>
        <w:snapToGrid w:val="0"/>
        <w:spacing w:line="480" w:lineRule="exact"/>
        <w:rPr>
          <w:rFonts w:ascii="黑体" w:eastAsia="黑体" w:hAnsi="黑体" w:hint="eastAsia"/>
          <w:sz w:val="32"/>
          <w:szCs w:val="32"/>
        </w:rPr>
      </w:pPr>
    </w:p>
    <w:p w:rsidR="00E068B4" w:rsidRPr="00282BA9" w:rsidRDefault="00E068B4" w:rsidP="00E068B4">
      <w:pPr>
        <w:snapToGrid w:val="0"/>
        <w:spacing w:line="480" w:lineRule="exact"/>
        <w:rPr>
          <w:rFonts w:ascii="黑体" w:eastAsia="黑体" w:hAnsi="黑体" w:hint="eastAsia"/>
          <w:sz w:val="32"/>
          <w:szCs w:val="32"/>
        </w:rPr>
      </w:pPr>
    </w:p>
    <w:p w:rsidR="00E068B4" w:rsidRPr="00282BA9" w:rsidRDefault="00E068B4" w:rsidP="00E068B4">
      <w:pPr>
        <w:snapToGrid w:val="0"/>
        <w:spacing w:line="480" w:lineRule="exact"/>
        <w:rPr>
          <w:rFonts w:ascii="黑体" w:eastAsia="黑体" w:hAnsi="黑体" w:hint="eastAsia"/>
          <w:sz w:val="32"/>
          <w:szCs w:val="32"/>
        </w:rPr>
      </w:pPr>
    </w:p>
    <w:p w:rsidR="00E068B4" w:rsidRPr="00C211E5" w:rsidRDefault="00E068B4" w:rsidP="00E068B4">
      <w:pPr>
        <w:numPr>
          <w:ilvl w:val="0"/>
          <w:numId w:val="1"/>
        </w:numPr>
        <w:snapToGrid w:val="0"/>
        <w:spacing w:line="480" w:lineRule="auto"/>
        <w:rPr>
          <w:rFonts w:ascii="黑体" w:eastAsia="黑体" w:hAnsi="黑体" w:hint="eastAsia"/>
          <w:sz w:val="32"/>
          <w:szCs w:val="32"/>
        </w:rPr>
      </w:pPr>
      <w:r w:rsidRPr="00C211E5">
        <w:rPr>
          <w:rFonts w:ascii="黑体" w:eastAsia="黑体" w:hAnsi="黑体" w:hint="eastAsia"/>
          <w:sz w:val="32"/>
          <w:szCs w:val="32"/>
        </w:rPr>
        <w:t>普通高等学校本科教学工作审核评估实施办法</w:t>
      </w:r>
    </w:p>
    <w:p w:rsidR="00E068B4" w:rsidRPr="00C211E5" w:rsidRDefault="00E068B4" w:rsidP="00E068B4">
      <w:pPr>
        <w:numPr>
          <w:ilvl w:val="0"/>
          <w:numId w:val="1"/>
        </w:numPr>
        <w:snapToGrid w:val="0"/>
        <w:spacing w:line="480" w:lineRule="auto"/>
        <w:jc w:val="left"/>
        <w:rPr>
          <w:rFonts w:ascii="黑体" w:eastAsia="黑体" w:hAnsi="黑体"/>
          <w:sz w:val="32"/>
          <w:szCs w:val="32"/>
        </w:rPr>
      </w:pPr>
      <w:r w:rsidRPr="00C211E5">
        <w:rPr>
          <w:rFonts w:ascii="黑体" w:eastAsia="黑体" w:hAnsi="黑体" w:hint="eastAsia"/>
          <w:sz w:val="32"/>
          <w:szCs w:val="32"/>
        </w:rPr>
        <w:t>普通高等学校本科教学工作审核评估范围</w:t>
      </w:r>
    </w:p>
    <w:p w:rsidR="00E068B4" w:rsidRPr="00282BA9" w:rsidRDefault="00E068B4" w:rsidP="00E068B4">
      <w:pPr>
        <w:snapToGrid w:val="0"/>
        <w:spacing w:line="480" w:lineRule="exact"/>
        <w:ind w:left="720"/>
        <w:rPr>
          <w:rFonts w:ascii="黑体" w:eastAsia="黑体" w:hAnsi="黑体" w:hint="eastAsia"/>
          <w:sz w:val="32"/>
          <w:szCs w:val="32"/>
        </w:rPr>
      </w:pPr>
    </w:p>
    <w:p w:rsidR="00E068B4" w:rsidRPr="00282BA9" w:rsidRDefault="00E068B4" w:rsidP="00E068B4">
      <w:pPr>
        <w:snapToGrid w:val="0"/>
        <w:spacing w:line="480" w:lineRule="exact"/>
        <w:rPr>
          <w:rFonts w:ascii="黑体" w:eastAsia="黑体" w:hAnsi="黑体"/>
          <w:sz w:val="32"/>
          <w:szCs w:val="32"/>
        </w:rPr>
      </w:pPr>
    </w:p>
    <w:p w:rsidR="00E068B4" w:rsidRPr="00282BA9" w:rsidRDefault="00E068B4" w:rsidP="00E068B4">
      <w:pPr>
        <w:snapToGrid w:val="0"/>
        <w:spacing w:line="480" w:lineRule="exact"/>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hint="eastAsia"/>
          <w:sz w:val="32"/>
          <w:szCs w:val="32"/>
        </w:rPr>
      </w:pPr>
    </w:p>
    <w:p w:rsidR="00E068B4" w:rsidRPr="00282BA9" w:rsidRDefault="00E068B4" w:rsidP="00E068B4">
      <w:pPr>
        <w:snapToGrid w:val="0"/>
        <w:spacing w:line="480" w:lineRule="exact"/>
        <w:jc w:val="center"/>
        <w:rPr>
          <w:rFonts w:ascii="黑体" w:eastAsia="黑体" w:hAnsi="黑体"/>
          <w:sz w:val="32"/>
          <w:szCs w:val="32"/>
        </w:rPr>
      </w:pPr>
      <w:r w:rsidRPr="00282BA9">
        <w:rPr>
          <w:rFonts w:ascii="黑体" w:eastAsia="黑体" w:hAnsi="黑体"/>
          <w:sz w:val="32"/>
          <w:szCs w:val="32"/>
        </w:rPr>
        <w:br w:type="page"/>
      </w:r>
      <w:r w:rsidRPr="00282BA9">
        <w:rPr>
          <w:rFonts w:ascii="黑体" w:eastAsia="黑体" w:hAnsi="黑体" w:hint="eastAsia"/>
          <w:sz w:val="32"/>
          <w:szCs w:val="32"/>
        </w:rPr>
        <w:lastRenderedPageBreak/>
        <w:t>一、普通高等学校本科教学工作审核评估实施办法</w:t>
      </w:r>
    </w:p>
    <w:p w:rsidR="00E068B4" w:rsidRPr="00282BA9" w:rsidRDefault="00E068B4" w:rsidP="00E068B4">
      <w:pPr>
        <w:adjustRightInd w:val="0"/>
        <w:snapToGrid w:val="0"/>
        <w:spacing w:line="520" w:lineRule="exact"/>
        <w:rPr>
          <w:rFonts w:ascii="宋体" w:hAnsi="宋体" w:hint="eastAsia"/>
          <w:sz w:val="28"/>
          <w:szCs w:val="28"/>
        </w:rPr>
      </w:pPr>
    </w:p>
    <w:p w:rsidR="00E068B4" w:rsidRPr="00C211E5" w:rsidRDefault="00E068B4" w:rsidP="00E068B4">
      <w:pPr>
        <w:adjustRightInd w:val="0"/>
        <w:snapToGrid w:val="0"/>
        <w:spacing w:line="520" w:lineRule="exact"/>
        <w:rPr>
          <w:rFonts w:ascii="仿宋" w:eastAsia="仿宋" w:hAnsi="仿宋" w:cs="Arial" w:hint="eastAsia"/>
          <w:kern w:val="0"/>
          <w:sz w:val="28"/>
          <w:szCs w:val="28"/>
        </w:rPr>
      </w:pPr>
      <w:r w:rsidRPr="00282BA9">
        <w:rPr>
          <w:rFonts w:ascii="宋体" w:hAnsi="宋体" w:hint="eastAsia"/>
          <w:sz w:val="28"/>
          <w:szCs w:val="28"/>
        </w:rPr>
        <w:t xml:space="preserve">    </w:t>
      </w:r>
      <w:r w:rsidRPr="00C211E5">
        <w:rPr>
          <w:rFonts w:ascii="仿宋" w:eastAsia="仿宋" w:hAnsi="仿宋" w:hint="eastAsia"/>
          <w:sz w:val="28"/>
          <w:szCs w:val="28"/>
        </w:rPr>
        <w:t>为贯彻落实党的十八大和《国家中长期教育改革和发展规划纲要(2010—2020年)》精神，提高本科教育教学质量，根据《教育部关于普通高等学校本科教学评估工作的意见》（</w:t>
      </w:r>
      <w:proofErr w:type="gramStart"/>
      <w:r w:rsidRPr="00C211E5">
        <w:rPr>
          <w:rFonts w:ascii="仿宋" w:eastAsia="仿宋" w:hAnsi="仿宋" w:hint="eastAsia"/>
          <w:sz w:val="28"/>
          <w:szCs w:val="28"/>
        </w:rPr>
        <w:t>教高〔2011〕</w:t>
      </w:r>
      <w:proofErr w:type="gramEnd"/>
      <w:r w:rsidRPr="00C211E5">
        <w:rPr>
          <w:rFonts w:ascii="仿宋" w:eastAsia="仿宋" w:hAnsi="仿宋" w:hint="eastAsia"/>
          <w:sz w:val="28"/>
          <w:szCs w:val="28"/>
        </w:rPr>
        <w:t>9号）</w:t>
      </w:r>
      <w:r w:rsidRPr="00C211E5">
        <w:rPr>
          <w:rFonts w:ascii="仿宋" w:eastAsia="仿宋" w:hAnsi="仿宋" w:cs="Arial" w:hint="eastAsia"/>
          <w:kern w:val="0"/>
          <w:sz w:val="28"/>
          <w:szCs w:val="28"/>
        </w:rPr>
        <w:t>，现制定普通高等学校本科教学工作审核评估（以下简称审核评估）实施办法。</w:t>
      </w:r>
    </w:p>
    <w:p w:rsidR="00E068B4" w:rsidRPr="00282BA9" w:rsidRDefault="00E068B4" w:rsidP="00E068B4">
      <w:pPr>
        <w:adjustRightInd w:val="0"/>
        <w:snapToGrid w:val="0"/>
        <w:spacing w:line="520" w:lineRule="exact"/>
        <w:rPr>
          <w:rFonts w:ascii="宋体" w:hAnsi="宋体" w:cs="Arial"/>
          <w:kern w:val="0"/>
          <w:sz w:val="28"/>
          <w:szCs w:val="28"/>
        </w:rPr>
      </w:pPr>
      <w:r w:rsidRPr="00282BA9">
        <w:rPr>
          <w:rFonts w:ascii="黑体" w:eastAsia="黑体" w:hAnsi="黑体" w:hint="eastAsia"/>
          <w:sz w:val="28"/>
          <w:szCs w:val="28"/>
        </w:rPr>
        <w:t xml:space="preserve">    （一）审核评估指导思想及总体要求</w:t>
      </w:r>
    </w:p>
    <w:p w:rsidR="00E068B4" w:rsidRPr="00C211E5" w:rsidRDefault="00E068B4" w:rsidP="00E068B4">
      <w:pPr>
        <w:adjustRightInd w:val="0"/>
        <w:snapToGrid w:val="0"/>
        <w:spacing w:line="520" w:lineRule="exact"/>
        <w:rPr>
          <w:rFonts w:ascii="仿宋" w:eastAsia="仿宋" w:hAnsi="仿宋" w:cs="Arial" w:hint="eastAsia"/>
          <w:kern w:val="0"/>
          <w:sz w:val="28"/>
          <w:szCs w:val="28"/>
        </w:rPr>
      </w:pPr>
      <w:r w:rsidRPr="00282BA9">
        <w:rPr>
          <w:rFonts w:ascii="宋体" w:hAnsi="宋体" w:cs="Arial" w:hint="eastAsia"/>
          <w:kern w:val="0"/>
          <w:sz w:val="28"/>
          <w:szCs w:val="28"/>
        </w:rPr>
        <w:t xml:space="preserve">   </w:t>
      </w:r>
      <w:r w:rsidRPr="00C211E5">
        <w:rPr>
          <w:rFonts w:ascii="仿宋" w:eastAsia="仿宋" w:hAnsi="仿宋" w:cs="Arial" w:hint="eastAsia"/>
          <w:kern w:val="0"/>
          <w:sz w:val="28"/>
          <w:szCs w:val="28"/>
        </w:rPr>
        <w:t xml:space="preserve"> 1．审核评估指导思想。以党的十八大</w:t>
      </w:r>
      <w:r>
        <w:rPr>
          <w:rFonts w:ascii="仿宋" w:eastAsia="仿宋" w:hAnsi="仿宋" w:cs="Arial" w:hint="eastAsia"/>
          <w:kern w:val="0"/>
          <w:sz w:val="28"/>
          <w:szCs w:val="28"/>
        </w:rPr>
        <w:t>精神和教育规划纲要</w:t>
      </w:r>
      <w:r w:rsidRPr="00C211E5">
        <w:rPr>
          <w:rFonts w:ascii="仿宋" w:eastAsia="仿宋" w:hAnsi="仿宋" w:cs="Arial" w:hint="eastAsia"/>
          <w:kern w:val="0"/>
          <w:sz w:val="28"/>
          <w:szCs w:val="28"/>
        </w:rPr>
        <w:t>为指导，坚持“以评促建、以评促改、以评促管、评建结合、重在建设”的方针；突出内涵建设，突出特色发展；强化办学合理定位，强化人才培养中心地位，强化质量保障体系建设，不断提高人才培养质量。</w:t>
      </w:r>
    </w:p>
    <w:p w:rsidR="00E068B4" w:rsidRPr="00C211E5" w:rsidRDefault="00E068B4" w:rsidP="00E068B4">
      <w:pPr>
        <w:adjustRightInd w:val="0"/>
        <w:snapToGrid w:val="0"/>
        <w:spacing w:line="520" w:lineRule="exact"/>
        <w:rPr>
          <w:rFonts w:ascii="仿宋" w:eastAsia="仿宋" w:hAnsi="仿宋" w:cs="Arial" w:hint="eastAsia"/>
          <w:kern w:val="0"/>
          <w:sz w:val="28"/>
          <w:szCs w:val="28"/>
        </w:rPr>
      </w:pPr>
      <w:r w:rsidRPr="00C211E5">
        <w:rPr>
          <w:rFonts w:ascii="仿宋" w:eastAsia="仿宋" w:hAnsi="仿宋" w:cs="Arial" w:hint="eastAsia"/>
          <w:kern w:val="0"/>
          <w:sz w:val="28"/>
          <w:szCs w:val="28"/>
        </w:rPr>
        <w:t xml:space="preserve">    2. 审核评估总体要求。审核评估坚持主体性、目标性、多样性、发展性和实证性五项基本原则，实行目标导向，问题引导，事实判断的评估方法。主体性原则注重以学校自我评估、自我检验、自我改进为主，体现学校在人才培养质量中的主体地位；目标性原则注重以学校办学定位和人才培养目标为导向，关注学校目标的确定与实现；多样性原则注重学校办学和人才培养的多样化，尊重学校办学自主权和自身特色；发展性原则注重学校内部质量标准和质量保障体系及其长效机制的建立，关注内涵的提升和质量的持续提高；实证性原则注重依据事实</w:t>
      </w:r>
      <w:proofErr w:type="gramStart"/>
      <w:r w:rsidRPr="00C211E5">
        <w:rPr>
          <w:rFonts w:ascii="仿宋" w:eastAsia="仿宋" w:hAnsi="仿宋" w:cs="Arial" w:hint="eastAsia"/>
          <w:kern w:val="0"/>
          <w:sz w:val="28"/>
          <w:szCs w:val="28"/>
        </w:rPr>
        <w:t>作出</w:t>
      </w:r>
      <w:proofErr w:type="gramEnd"/>
      <w:r w:rsidRPr="00C211E5">
        <w:rPr>
          <w:rFonts w:ascii="仿宋" w:eastAsia="仿宋" w:hAnsi="仿宋" w:cs="Arial" w:hint="eastAsia"/>
          <w:kern w:val="0"/>
          <w:sz w:val="28"/>
          <w:szCs w:val="28"/>
        </w:rPr>
        <w:t>审核判断，以数据为依据、以事实来证明。</w:t>
      </w:r>
    </w:p>
    <w:p w:rsidR="00E068B4" w:rsidRPr="00C211E5" w:rsidRDefault="00E068B4" w:rsidP="00E068B4">
      <w:pPr>
        <w:adjustRightInd w:val="0"/>
        <w:snapToGrid w:val="0"/>
        <w:spacing w:line="520" w:lineRule="exact"/>
        <w:rPr>
          <w:rFonts w:ascii="仿宋" w:eastAsia="仿宋" w:hAnsi="仿宋" w:hint="eastAsia"/>
          <w:sz w:val="28"/>
          <w:szCs w:val="28"/>
        </w:rPr>
      </w:pPr>
      <w:r w:rsidRPr="00C211E5">
        <w:rPr>
          <w:rFonts w:ascii="仿宋" w:eastAsia="仿宋" w:hAnsi="仿宋" w:hint="eastAsia"/>
          <w:sz w:val="28"/>
          <w:szCs w:val="28"/>
        </w:rPr>
        <w:t xml:space="preserve">    本次普通高等学校本科教学工作审核评估时间为201</w:t>
      </w:r>
      <w:r>
        <w:rPr>
          <w:rFonts w:ascii="仿宋" w:eastAsia="仿宋" w:hAnsi="仿宋" w:hint="eastAsia"/>
          <w:sz w:val="28"/>
          <w:szCs w:val="28"/>
        </w:rPr>
        <w:t>4</w:t>
      </w:r>
      <w:r w:rsidRPr="00C211E5">
        <w:rPr>
          <w:rFonts w:ascii="仿宋" w:eastAsia="仿宋" w:hAnsi="仿宋" w:hint="eastAsia"/>
          <w:sz w:val="28"/>
          <w:szCs w:val="28"/>
        </w:rPr>
        <w:t>年至201</w:t>
      </w:r>
      <w:r>
        <w:rPr>
          <w:rFonts w:ascii="仿宋" w:eastAsia="仿宋" w:hAnsi="仿宋" w:hint="eastAsia"/>
          <w:sz w:val="28"/>
          <w:szCs w:val="28"/>
        </w:rPr>
        <w:t>8</w:t>
      </w:r>
      <w:r w:rsidRPr="00C211E5">
        <w:rPr>
          <w:rFonts w:ascii="仿宋" w:eastAsia="仿宋" w:hAnsi="仿宋" w:hint="eastAsia"/>
          <w:sz w:val="28"/>
          <w:szCs w:val="28"/>
        </w:rPr>
        <w:t>年。</w:t>
      </w:r>
    </w:p>
    <w:p w:rsidR="00E068B4" w:rsidRPr="00282BA9" w:rsidRDefault="00E068B4" w:rsidP="00E068B4">
      <w:pPr>
        <w:adjustRightInd w:val="0"/>
        <w:snapToGrid w:val="0"/>
        <w:spacing w:line="520" w:lineRule="exact"/>
        <w:rPr>
          <w:rFonts w:ascii="宋体" w:hAnsi="宋体"/>
          <w:sz w:val="28"/>
          <w:szCs w:val="28"/>
        </w:rPr>
      </w:pPr>
      <w:r w:rsidRPr="00282BA9">
        <w:rPr>
          <w:rFonts w:ascii="黑体" w:eastAsia="黑体" w:hAnsi="黑体" w:hint="eastAsia"/>
          <w:sz w:val="28"/>
          <w:szCs w:val="28"/>
        </w:rPr>
        <w:t xml:space="preserve">    （二）审核评估对象及条件</w:t>
      </w:r>
    </w:p>
    <w:p w:rsidR="00E068B4" w:rsidRPr="00C211E5" w:rsidRDefault="00E068B4" w:rsidP="00E068B4">
      <w:pPr>
        <w:adjustRightInd w:val="0"/>
        <w:snapToGrid w:val="0"/>
        <w:spacing w:line="520" w:lineRule="exact"/>
        <w:rPr>
          <w:rFonts w:ascii="仿宋" w:eastAsia="仿宋" w:hAnsi="仿宋" w:cs="Arial" w:hint="eastAsia"/>
          <w:kern w:val="0"/>
          <w:sz w:val="28"/>
          <w:szCs w:val="28"/>
        </w:rPr>
      </w:pPr>
      <w:r w:rsidRPr="00282BA9">
        <w:rPr>
          <w:rFonts w:ascii="宋体" w:hAnsi="宋体" w:cs="Arial" w:hint="eastAsia"/>
          <w:kern w:val="0"/>
          <w:sz w:val="28"/>
          <w:szCs w:val="28"/>
        </w:rPr>
        <w:t xml:space="preserve"> </w:t>
      </w:r>
      <w:r w:rsidRPr="00C211E5">
        <w:rPr>
          <w:rFonts w:ascii="宋体" w:hAnsi="宋体" w:cs="Arial" w:hint="eastAsia"/>
          <w:kern w:val="0"/>
          <w:sz w:val="28"/>
          <w:szCs w:val="28"/>
        </w:rPr>
        <w:t xml:space="preserve">   </w:t>
      </w:r>
      <w:r w:rsidRPr="00C211E5">
        <w:rPr>
          <w:rFonts w:ascii="仿宋" w:eastAsia="仿宋" w:hAnsi="仿宋" w:cs="Arial" w:hint="eastAsia"/>
          <w:kern w:val="0"/>
          <w:sz w:val="28"/>
          <w:szCs w:val="28"/>
        </w:rPr>
        <w:t>3. 审核评估对象。凡参加普通高等学校本科教学工作水平评估获得“合格”及以上结论的高校均应参加审核评估。参加普通高等学校本科教学工作合格评估获得“通过”结论的新建本科院校，5年后须参加审核评估。</w:t>
      </w:r>
    </w:p>
    <w:p w:rsidR="00E068B4" w:rsidRPr="00C211E5" w:rsidRDefault="00E068B4" w:rsidP="00E068B4">
      <w:pPr>
        <w:adjustRightInd w:val="0"/>
        <w:snapToGrid w:val="0"/>
        <w:spacing w:line="520" w:lineRule="exact"/>
        <w:rPr>
          <w:rFonts w:ascii="仿宋" w:eastAsia="仿宋" w:hAnsi="仿宋" w:cs="Arial" w:hint="eastAsia"/>
          <w:kern w:val="0"/>
          <w:sz w:val="28"/>
          <w:szCs w:val="28"/>
        </w:rPr>
      </w:pPr>
      <w:r w:rsidRPr="00C211E5">
        <w:rPr>
          <w:rFonts w:ascii="仿宋" w:eastAsia="仿宋" w:hAnsi="仿宋" w:cs="Arial" w:hint="eastAsia"/>
          <w:kern w:val="0"/>
          <w:sz w:val="28"/>
          <w:szCs w:val="28"/>
        </w:rPr>
        <w:t xml:space="preserve">    4. 审核评估条件。参加审核评估学校办学条件指标应达到教育部《普通高等学校基本办学条件指标（试行）》（教发</w:t>
      </w:r>
      <w:r w:rsidRPr="00C211E5">
        <w:rPr>
          <w:rFonts w:ascii="仿宋" w:eastAsia="仿宋" w:hAnsi="仿宋" w:cs="Arial"/>
          <w:kern w:val="0"/>
          <w:sz w:val="28"/>
          <w:szCs w:val="28"/>
        </w:rPr>
        <w:t>〔</w:t>
      </w:r>
      <w:r w:rsidRPr="00C211E5">
        <w:rPr>
          <w:rFonts w:ascii="仿宋" w:eastAsia="仿宋" w:hAnsi="仿宋" w:cs="Arial" w:hint="eastAsia"/>
          <w:kern w:val="0"/>
          <w:sz w:val="28"/>
          <w:szCs w:val="28"/>
        </w:rPr>
        <w:t>2004</w:t>
      </w:r>
      <w:r w:rsidRPr="00C211E5">
        <w:rPr>
          <w:rFonts w:ascii="仿宋" w:eastAsia="仿宋" w:hAnsi="仿宋" w:cs="Arial"/>
          <w:kern w:val="0"/>
          <w:sz w:val="28"/>
          <w:szCs w:val="28"/>
        </w:rPr>
        <w:t>〕</w:t>
      </w:r>
      <w:r w:rsidRPr="00C211E5">
        <w:rPr>
          <w:rFonts w:ascii="仿宋" w:eastAsia="仿宋" w:hAnsi="仿宋" w:cs="Arial" w:hint="eastAsia"/>
          <w:kern w:val="0"/>
          <w:sz w:val="28"/>
          <w:szCs w:val="28"/>
        </w:rPr>
        <w:t>2号）规定的合格</w:t>
      </w:r>
      <w:r w:rsidRPr="00C211E5">
        <w:rPr>
          <w:rFonts w:ascii="仿宋" w:eastAsia="仿宋" w:hAnsi="仿宋" w:cs="Arial" w:hint="eastAsia"/>
          <w:kern w:val="0"/>
          <w:sz w:val="28"/>
          <w:szCs w:val="28"/>
        </w:rPr>
        <w:lastRenderedPageBreak/>
        <w:t>标准；</w:t>
      </w:r>
      <w:r w:rsidRPr="00C211E5">
        <w:rPr>
          <w:rFonts w:ascii="仿宋" w:eastAsia="仿宋" w:hAnsi="仿宋"/>
          <w:sz w:val="28"/>
          <w:szCs w:val="28"/>
        </w:rPr>
        <w:t>公办普通本科高校</w:t>
      </w:r>
      <w:r w:rsidRPr="00C211E5">
        <w:rPr>
          <w:rFonts w:ascii="仿宋" w:eastAsia="仿宋" w:hAnsi="仿宋" w:cs="Arial"/>
          <w:kern w:val="0"/>
          <w:sz w:val="28"/>
          <w:szCs w:val="28"/>
        </w:rPr>
        <w:t>生均</w:t>
      </w:r>
      <w:r w:rsidRPr="00C211E5">
        <w:rPr>
          <w:rFonts w:ascii="仿宋" w:eastAsia="仿宋" w:hAnsi="仿宋" w:cs="Arial" w:hint="eastAsia"/>
          <w:kern w:val="0"/>
          <w:sz w:val="28"/>
          <w:szCs w:val="28"/>
        </w:rPr>
        <w:t>拨款</w:t>
      </w:r>
      <w:r w:rsidRPr="00C211E5">
        <w:rPr>
          <w:rFonts w:ascii="仿宋" w:eastAsia="仿宋" w:hAnsi="仿宋" w:cs="Arial"/>
          <w:kern w:val="0"/>
          <w:sz w:val="28"/>
          <w:szCs w:val="28"/>
        </w:rPr>
        <w:t>须达到《财政部关于进一步提高地方普通本科高校生均拨款水平的意见》（</w:t>
      </w:r>
      <w:proofErr w:type="gramStart"/>
      <w:r w:rsidRPr="00C211E5">
        <w:rPr>
          <w:rFonts w:ascii="仿宋" w:eastAsia="仿宋" w:hAnsi="仿宋" w:cs="Arial"/>
          <w:kern w:val="0"/>
          <w:sz w:val="28"/>
          <w:szCs w:val="28"/>
        </w:rPr>
        <w:t>财教〔2010〕</w:t>
      </w:r>
      <w:proofErr w:type="gramEnd"/>
      <w:r w:rsidRPr="00C211E5">
        <w:rPr>
          <w:rFonts w:ascii="仿宋" w:eastAsia="仿宋" w:hAnsi="仿宋" w:cs="Arial"/>
          <w:kern w:val="0"/>
          <w:sz w:val="28"/>
          <w:szCs w:val="28"/>
        </w:rPr>
        <w:t>567号）规定的相应标准</w:t>
      </w:r>
      <w:r w:rsidRPr="00C211E5">
        <w:rPr>
          <w:rFonts w:ascii="仿宋" w:eastAsia="仿宋" w:hAnsi="仿宋" w:cs="Arial" w:hint="eastAsia"/>
          <w:kern w:val="0"/>
          <w:sz w:val="28"/>
          <w:szCs w:val="28"/>
        </w:rPr>
        <w:t>。</w:t>
      </w:r>
    </w:p>
    <w:p w:rsidR="00E068B4" w:rsidRPr="00282BA9" w:rsidRDefault="00E068B4" w:rsidP="00E068B4">
      <w:pPr>
        <w:adjustRightInd w:val="0"/>
        <w:snapToGrid w:val="0"/>
        <w:spacing w:line="520" w:lineRule="exact"/>
        <w:rPr>
          <w:rFonts w:ascii="宋体" w:hAnsi="宋体" w:cs="Arial"/>
          <w:kern w:val="0"/>
          <w:sz w:val="28"/>
          <w:szCs w:val="28"/>
        </w:rPr>
      </w:pPr>
      <w:r w:rsidRPr="00282BA9">
        <w:rPr>
          <w:rFonts w:ascii="黑体" w:eastAsia="黑体" w:hAnsi="黑体" w:hint="eastAsia"/>
          <w:sz w:val="28"/>
          <w:szCs w:val="28"/>
        </w:rPr>
        <w:t xml:space="preserve">    （三）审核评估范围及重点</w:t>
      </w:r>
    </w:p>
    <w:p w:rsidR="00E068B4" w:rsidRPr="00C211E5" w:rsidRDefault="00E068B4" w:rsidP="00E068B4">
      <w:pPr>
        <w:adjustRightInd w:val="0"/>
        <w:snapToGrid w:val="0"/>
        <w:spacing w:line="520" w:lineRule="exact"/>
        <w:rPr>
          <w:rFonts w:ascii="仿宋" w:eastAsia="仿宋" w:hAnsi="仿宋" w:cs="Arial"/>
          <w:kern w:val="0"/>
          <w:sz w:val="28"/>
          <w:szCs w:val="28"/>
        </w:rPr>
      </w:pPr>
      <w:r w:rsidRPr="00282BA9">
        <w:rPr>
          <w:rFonts w:ascii="宋体" w:hAnsi="宋体" w:cs="Arial" w:hint="eastAsia"/>
          <w:kern w:val="0"/>
          <w:sz w:val="28"/>
          <w:szCs w:val="28"/>
        </w:rPr>
        <w:t xml:space="preserve">  </w:t>
      </w:r>
      <w:r w:rsidRPr="00C211E5">
        <w:rPr>
          <w:rFonts w:ascii="宋体" w:hAnsi="宋体" w:cs="Arial" w:hint="eastAsia"/>
          <w:kern w:val="0"/>
          <w:sz w:val="28"/>
          <w:szCs w:val="28"/>
        </w:rPr>
        <w:t xml:space="preserve"> </w:t>
      </w:r>
      <w:r w:rsidRPr="00C211E5">
        <w:rPr>
          <w:rFonts w:ascii="仿宋" w:eastAsia="仿宋" w:hAnsi="仿宋" w:cs="Arial" w:hint="eastAsia"/>
          <w:kern w:val="0"/>
          <w:sz w:val="28"/>
          <w:szCs w:val="28"/>
        </w:rPr>
        <w:t xml:space="preserve"> 5. 审核评估范围。审核评估范围主要包括学校的定位与目标、师资队伍、教学资源、培养过程、学生发展、质量保障以及学校自选特色等方面，涵盖学校的办学定位及人才培养目标，教师及其教学水平和教学投入，教学经费、教学设施及专业和课程资源建设情况，教学改革及各教学环节的落实情况，招生就业情况、学生学习效果及学风建设情况，质量保障体系的建设及运行情况等。</w:t>
      </w:r>
    </w:p>
    <w:p w:rsidR="00E068B4" w:rsidRPr="00C211E5" w:rsidRDefault="00E068B4" w:rsidP="00E068B4">
      <w:pPr>
        <w:adjustRightInd w:val="0"/>
        <w:snapToGrid w:val="0"/>
        <w:spacing w:line="520" w:lineRule="exact"/>
        <w:ind w:firstLine="560"/>
        <w:rPr>
          <w:rFonts w:ascii="仿宋" w:eastAsia="仿宋" w:hAnsi="仿宋" w:cs="Arial" w:hint="eastAsia"/>
          <w:kern w:val="0"/>
          <w:sz w:val="28"/>
          <w:szCs w:val="28"/>
        </w:rPr>
      </w:pPr>
      <w:r w:rsidRPr="00C211E5">
        <w:rPr>
          <w:rFonts w:ascii="仿宋" w:eastAsia="仿宋" w:hAnsi="仿宋" w:cs="Arial" w:hint="eastAsia"/>
          <w:kern w:val="0"/>
          <w:sz w:val="28"/>
          <w:szCs w:val="28"/>
        </w:rPr>
        <w:t>6. 审核评估重点。审核评估核心是对学校人才培养目标与培养效果的实现状况进行</w:t>
      </w:r>
      <w:r>
        <w:rPr>
          <w:rFonts w:ascii="仿宋" w:eastAsia="仿宋" w:hAnsi="仿宋" w:cs="Arial" w:hint="eastAsia"/>
          <w:kern w:val="0"/>
          <w:sz w:val="28"/>
          <w:szCs w:val="28"/>
        </w:rPr>
        <w:t>评价</w:t>
      </w:r>
      <w:r w:rsidRPr="00C211E5">
        <w:rPr>
          <w:rFonts w:ascii="仿宋" w:eastAsia="仿宋" w:hAnsi="仿宋" w:cs="Arial" w:hint="eastAsia"/>
          <w:kern w:val="0"/>
          <w:sz w:val="28"/>
          <w:szCs w:val="28"/>
        </w:rPr>
        <w:t>。重点考察办学定位和人才培养目标与国家和区域经济社会发展需求的适应度，教师和教学资源条件的保障度，教学和质量保障体系运行的有效度，学生和社会用人单位的满意度。</w:t>
      </w:r>
    </w:p>
    <w:p w:rsidR="00E068B4" w:rsidRPr="00282BA9" w:rsidRDefault="00E068B4" w:rsidP="00E068B4">
      <w:pPr>
        <w:adjustRightInd w:val="0"/>
        <w:snapToGrid w:val="0"/>
        <w:spacing w:line="520" w:lineRule="exact"/>
        <w:ind w:firstLine="560"/>
        <w:rPr>
          <w:rFonts w:ascii="宋体" w:hAnsi="宋体" w:cs="Arial"/>
          <w:kern w:val="0"/>
          <w:sz w:val="28"/>
          <w:szCs w:val="28"/>
        </w:rPr>
      </w:pPr>
      <w:r w:rsidRPr="00282BA9">
        <w:rPr>
          <w:rFonts w:ascii="黑体" w:eastAsia="黑体" w:hAnsi="黑体" w:hint="eastAsia"/>
          <w:sz w:val="28"/>
          <w:szCs w:val="28"/>
        </w:rPr>
        <w:t>（四）审核评估组织与管理</w:t>
      </w:r>
    </w:p>
    <w:p w:rsidR="00E068B4" w:rsidRPr="00C211E5" w:rsidRDefault="00E068B4" w:rsidP="00E068B4">
      <w:pPr>
        <w:adjustRightInd w:val="0"/>
        <w:snapToGrid w:val="0"/>
        <w:spacing w:line="520" w:lineRule="exact"/>
        <w:rPr>
          <w:rFonts w:ascii="仿宋" w:eastAsia="仿宋" w:hAnsi="仿宋" w:cs="Arial" w:hint="eastAsia"/>
          <w:kern w:val="0"/>
          <w:sz w:val="28"/>
          <w:szCs w:val="28"/>
        </w:rPr>
      </w:pPr>
      <w:r w:rsidRPr="00282BA9">
        <w:rPr>
          <w:rFonts w:ascii="宋体" w:hAnsi="宋体" w:cs="Arial" w:hint="eastAsia"/>
          <w:kern w:val="0"/>
          <w:sz w:val="28"/>
          <w:szCs w:val="28"/>
        </w:rPr>
        <w:t xml:space="preserve">  </w:t>
      </w:r>
      <w:r w:rsidRPr="00C211E5">
        <w:rPr>
          <w:rFonts w:ascii="宋体" w:hAnsi="宋体" w:cs="Arial" w:hint="eastAsia"/>
          <w:kern w:val="0"/>
          <w:sz w:val="28"/>
          <w:szCs w:val="28"/>
        </w:rPr>
        <w:t xml:space="preserve"> </w:t>
      </w:r>
      <w:r w:rsidRPr="00C211E5">
        <w:rPr>
          <w:rFonts w:ascii="仿宋" w:eastAsia="仿宋" w:hAnsi="仿宋" w:cs="Arial" w:hint="eastAsia"/>
          <w:kern w:val="0"/>
          <w:sz w:val="28"/>
          <w:szCs w:val="28"/>
        </w:rPr>
        <w:t xml:space="preserve"> 7．审核评估组织。教育部统筹协调全国普通高等学校本科教学审核评估工作，制定审核评估总体方案及规划，指导监督审核评估工作；省</w:t>
      </w:r>
      <w:r>
        <w:rPr>
          <w:rFonts w:ascii="仿宋" w:eastAsia="仿宋" w:hAnsi="仿宋" w:cs="Arial" w:hint="eastAsia"/>
          <w:kern w:val="0"/>
          <w:sz w:val="28"/>
          <w:szCs w:val="28"/>
        </w:rPr>
        <w:t>（区、</w:t>
      </w:r>
      <w:r w:rsidRPr="00C211E5">
        <w:rPr>
          <w:rFonts w:ascii="仿宋" w:eastAsia="仿宋" w:hAnsi="仿宋" w:cs="Arial" w:hint="eastAsia"/>
          <w:kern w:val="0"/>
          <w:sz w:val="28"/>
          <w:szCs w:val="28"/>
        </w:rPr>
        <w:t>市</w:t>
      </w:r>
      <w:r>
        <w:rPr>
          <w:rFonts w:ascii="仿宋" w:eastAsia="仿宋" w:hAnsi="仿宋" w:cs="Arial" w:hint="eastAsia"/>
          <w:kern w:val="0"/>
          <w:sz w:val="28"/>
          <w:szCs w:val="28"/>
        </w:rPr>
        <w:t>）</w:t>
      </w:r>
      <w:r w:rsidRPr="00C211E5">
        <w:rPr>
          <w:rFonts w:ascii="仿宋" w:eastAsia="仿宋" w:hAnsi="仿宋" w:cs="Arial" w:hint="eastAsia"/>
          <w:kern w:val="0"/>
          <w:sz w:val="28"/>
          <w:szCs w:val="28"/>
        </w:rPr>
        <w:t>教育行政部门负责组织本地区所属院校的审核评估工作，可结合本地区实际情况，在教育部审核评估方案基础上进行补充，制定本地区审核评估具体方案和评估计划，并报教育部备案后实施。</w:t>
      </w:r>
    </w:p>
    <w:p w:rsidR="00E068B4" w:rsidRPr="00C211E5" w:rsidRDefault="00E068B4" w:rsidP="00E068B4">
      <w:pPr>
        <w:adjustRightInd w:val="0"/>
        <w:snapToGrid w:val="0"/>
        <w:spacing w:line="520" w:lineRule="exact"/>
        <w:rPr>
          <w:rFonts w:ascii="仿宋" w:eastAsia="仿宋" w:hAnsi="仿宋" w:cs="Arial" w:hint="eastAsia"/>
          <w:kern w:val="0"/>
          <w:sz w:val="28"/>
          <w:szCs w:val="28"/>
        </w:rPr>
      </w:pPr>
      <w:r w:rsidRPr="00C211E5">
        <w:rPr>
          <w:rFonts w:ascii="仿宋" w:eastAsia="仿宋" w:hAnsi="仿宋" w:cs="Arial" w:hint="eastAsia"/>
          <w:kern w:val="0"/>
          <w:sz w:val="28"/>
          <w:szCs w:val="28"/>
        </w:rPr>
        <w:t xml:space="preserve">    8．审核评估实施。审核评估要积极探索、建立健全与管办评分离相适应的评估工作组织体系，充分发挥第三方评估的作用。中央部委所属院校的审核评估由教育部高等教育教学评估中心（以下简称教育部评估中心）负责实施；地方所属院校的审核评估由省级教育行政部门负责，逐步形成管办评分离的评估机制。</w:t>
      </w:r>
    </w:p>
    <w:p w:rsidR="00E068B4" w:rsidRPr="00C211E5" w:rsidRDefault="00E068B4" w:rsidP="00E068B4">
      <w:pPr>
        <w:adjustRightInd w:val="0"/>
        <w:snapToGrid w:val="0"/>
        <w:spacing w:line="520" w:lineRule="exact"/>
        <w:rPr>
          <w:rFonts w:ascii="仿宋" w:eastAsia="仿宋" w:hAnsi="仿宋" w:cs="Arial" w:hint="eastAsia"/>
          <w:kern w:val="0"/>
          <w:sz w:val="28"/>
          <w:szCs w:val="28"/>
        </w:rPr>
      </w:pPr>
      <w:r w:rsidRPr="00C211E5">
        <w:rPr>
          <w:rFonts w:ascii="仿宋" w:eastAsia="仿宋" w:hAnsi="仿宋" w:cs="Arial" w:hint="eastAsia"/>
          <w:kern w:val="0"/>
          <w:sz w:val="28"/>
          <w:szCs w:val="28"/>
        </w:rPr>
        <w:t xml:space="preserve">    9．审核评估专家。为保证审核评估</w:t>
      </w:r>
      <w:bookmarkStart w:id="0" w:name="_GoBack"/>
      <w:bookmarkEnd w:id="0"/>
      <w:r w:rsidRPr="00C211E5">
        <w:rPr>
          <w:rFonts w:ascii="仿宋" w:eastAsia="仿宋" w:hAnsi="仿宋" w:cs="Arial" w:hint="eastAsia"/>
          <w:kern w:val="0"/>
          <w:sz w:val="28"/>
          <w:szCs w:val="28"/>
        </w:rPr>
        <w:t>专家工作水平，提高工作效率，由教育部评估中心分别建立审核评估专家库和全国高校教学基本状态数据库</w:t>
      </w:r>
      <w:r w:rsidRPr="00C211E5">
        <w:rPr>
          <w:rFonts w:ascii="仿宋" w:eastAsia="仿宋" w:hAnsi="仿宋" w:cs="Arial" w:hint="eastAsia"/>
          <w:kern w:val="0"/>
          <w:sz w:val="28"/>
          <w:szCs w:val="28"/>
        </w:rPr>
        <w:lastRenderedPageBreak/>
        <w:t>系统，为全国普通高等学校审核评估工作提供开放共享的服务平台。专家队伍应包括熟悉教学、管理和评估工作的教育专家，还应吸收行业、企业和社会用人部门有关专家参加。教育部评估中心与各地评估组织部门共同协商对审核评估专家进行培训。在审核评估组织实施中，外省</w:t>
      </w:r>
      <w:r>
        <w:rPr>
          <w:rFonts w:ascii="仿宋" w:eastAsia="仿宋" w:hAnsi="仿宋" w:cs="Arial" w:hint="eastAsia"/>
          <w:kern w:val="0"/>
          <w:sz w:val="28"/>
          <w:szCs w:val="28"/>
        </w:rPr>
        <w:t>（区、</w:t>
      </w:r>
      <w:r w:rsidRPr="00C211E5">
        <w:rPr>
          <w:rFonts w:ascii="仿宋" w:eastAsia="仿宋" w:hAnsi="仿宋" w:cs="Arial" w:hint="eastAsia"/>
          <w:kern w:val="0"/>
          <w:sz w:val="28"/>
          <w:szCs w:val="28"/>
        </w:rPr>
        <w:t>市</w:t>
      </w:r>
      <w:r>
        <w:rPr>
          <w:rFonts w:ascii="仿宋" w:eastAsia="仿宋" w:hAnsi="仿宋" w:cs="Arial" w:hint="eastAsia"/>
          <w:kern w:val="0"/>
          <w:sz w:val="28"/>
          <w:szCs w:val="28"/>
        </w:rPr>
        <w:t>）</w:t>
      </w:r>
      <w:r w:rsidRPr="00C211E5">
        <w:rPr>
          <w:rFonts w:ascii="仿宋" w:eastAsia="仿宋" w:hAnsi="仿宋" w:cs="Arial" w:hint="eastAsia"/>
          <w:kern w:val="0"/>
          <w:sz w:val="28"/>
          <w:szCs w:val="28"/>
        </w:rPr>
        <w:t>专家一般不少于进校考察专家组人数的三分之一。</w:t>
      </w:r>
    </w:p>
    <w:p w:rsidR="00E068B4" w:rsidRPr="00C211E5" w:rsidRDefault="00E068B4" w:rsidP="00E068B4">
      <w:pPr>
        <w:adjustRightInd w:val="0"/>
        <w:snapToGrid w:val="0"/>
        <w:spacing w:line="520" w:lineRule="exact"/>
        <w:ind w:firstLine="560"/>
        <w:rPr>
          <w:rFonts w:ascii="仿宋" w:eastAsia="仿宋" w:hAnsi="仿宋" w:cs="Arial" w:hint="eastAsia"/>
          <w:kern w:val="0"/>
          <w:sz w:val="28"/>
          <w:szCs w:val="28"/>
        </w:rPr>
      </w:pPr>
      <w:r w:rsidRPr="00C211E5">
        <w:rPr>
          <w:rFonts w:ascii="仿宋" w:eastAsia="仿宋" w:hAnsi="仿宋" w:cs="Arial" w:hint="eastAsia"/>
          <w:kern w:val="0"/>
          <w:sz w:val="28"/>
          <w:szCs w:val="28"/>
        </w:rPr>
        <w:t>10. 审核评估经费。审核评估经费应由审核评估具体组织部门负责落实。</w:t>
      </w:r>
    </w:p>
    <w:p w:rsidR="00E068B4" w:rsidRPr="00282BA9" w:rsidRDefault="00E068B4" w:rsidP="00E068B4">
      <w:pPr>
        <w:adjustRightInd w:val="0"/>
        <w:snapToGrid w:val="0"/>
        <w:spacing w:line="520" w:lineRule="exact"/>
        <w:ind w:firstLine="560"/>
        <w:rPr>
          <w:rFonts w:ascii="宋体" w:hAnsi="宋体" w:cs="Arial"/>
          <w:kern w:val="0"/>
          <w:sz w:val="28"/>
          <w:szCs w:val="28"/>
        </w:rPr>
      </w:pPr>
      <w:r w:rsidRPr="00282BA9">
        <w:rPr>
          <w:rFonts w:ascii="黑体" w:eastAsia="黑体" w:hAnsi="黑体" w:hint="eastAsia"/>
          <w:sz w:val="28"/>
          <w:szCs w:val="28"/>
        </w:rPr>
        <w:t>（五）审核评估程序与任务</w:t>
      </w:r>
    </w:p>
    <w:p w:rsidR="00E068B4" w:rsidRPr="00C211E5" w:rsidRDefault="00E068B4" w:rsidP="00E068B4">
      <w:pPr>
        <w:adjustRightInd w:val="0"/>
        <w:snapToGrid w:val="0"/>
        <w:spacing w:line="520" w:lineRule="exact"/>
        <w:rPr>
          <w:rFonts w:ascii="仿宋" w:eastAsia="仿宋" w:hAnsi="仿宋"/>
          <w:kern w:val="0"/>
          <w:sz w:val="28"/>
          <w:szCs w:val="28"/>
        </w:rPr>
      </w:pPr>
      <w:r w:rsidRPr="00282BA9">
        <w:rPr>
          <w:rFonts w:ascii="宋体" w:hAnsi="宋体" w:hint="eastAsia"/>
          <w:kern w:val="0"/>
          <w:sz w:val="28"/>
          <w:szCs w:val="28"/>
        </w:rPr>
        <w:t xml:space="preserve">   </w:t>
      </w:r>
      <w:r w:rsidRPr="00C211E5">
        <w:rPr>
          <w:rFonts w:ascii="仿宋" w:eastAsia="仿宋" w:hAnsi="仿宋" w:hint="eastAsia"/>
          <w:kern w:val="0"/>
          <w:sz w:val="28"/>
          <w:szCs w:val="28"/>
        </w:rPr>
        <w:t xml:space="preserve"> 审核评估程序包括学校自评、专家进校考察、评估结论审议与发布等。</w:t>
      </w:r>
    </w:p>
    <w:p w:rsidR="00E068B4" w:rsidRPr="00C211E5" w:rsidRDefault="00E068B4" w:rsidP="00E068B4">
      <w:pPr>
        <w:adjustRightInd w:val="0"/>
        <w:snapToGrid w:val="0"/>
        <w:spacing w:line="520" w:lineRule="exact"/>
        <w:rPr>
          <w:rFonts w:ascii="仿宋" w:eastAsia="仿宋" w:hAnsi="仿宋" w:hint="eastAsia"/>
          <w:kern w:val="0"/>
          <w:sz w:val="28"/>
          <w:szCs w:val="28"/>
        </w:rPr>
      </w:pPr>
      <w:r w:rsidRPr="00C211E5">
        <w:rPr>
          <w:rFonts w:ascii="仿宋" w:eastAsia="仿宋" w:hAnsi="仿宋" w:hint="eastAsia"/>
          <w:kern w:val="0"/>
          <w:sz w:val="28"/>
          <w:szCs w:val="28"/>
        </w:rPr>
        <w:t xml:space="preserve">    11</w:t>
      </w:r>
      <w:r w:rsidRPr="00C211E5">
        <w:rPr>
          <w:rFonts w:ascii="仿宋" w:eastAsia="仿宋" w:hAnsi="仿宋" w:cs="Arial" w:hint="eastAsia"/>
          <w:kern w:val="0"/>
          <w:sz w:val="28"/>
          <w:szCs w:val="28"/>
        </w:rPr>
        <w:t>．</w:t>
      </w:r>
      <w:r w:rsidRPr="00C211E5">
        <w:rPr>
          <w:rFonts w:ascii="仿宋" w:eastAsia="仿宋" w:hAnsi="仿宋" w:hint="eastAsia"/>
          <w:kern w:val="0"/>
          <w:sz w:val="28"/>
          <w:szCs w:val="28"/>
        </w:rPr>
        <w:t>学校自评。参评学校根据本办法和审核评估内容及上一次本科教学工作评估存在问题的整改情况，结合自身实际，认真开展自我评估，按要求填报本科教学基本状态数据（见教育部评估中心网页</w:t>
      </w:r>
      <w:hyperlink w:history="1">
        <w:r w:rsidRPr="00C211E5">
          <w:rPr>
            <w:rStyle w:val="a3"/>
            <w:rFonts w:ascii="仿宋" w:eastAsia="仿宋" w:hAnsi="仿宋"/>
            <w:kern w:val="0"/>
            <w:sz w:val="28"/>
            <w:szCs w:val="28"/>
          </w:rPr>
          <w:t>http://udb.</w:t>
        </w:r>
        <w:r w:rsidRPr="00C211E5">
          <w:rPr>
            <w:rStyle w:val="a3"/>
            <w:rFonts w:ascii="仿宋" w:eastAsia="仿宋" w:hAnsi="仿宋"/>
            <w:kern w:val="0"/>
            <w:sz w:val="28"/>
            <w:szCs w:val="28"/>
          </w:rPr>
          <w:t>h</w:t>
        </w:r>
        <w:r w:rsidRPr="00C211E5">
          <w:rPr>
            <w:rStyle w:val="a3"/>
            <w:rFonts w:ascii="仿宋" w:eastAsia="仿宋" w:hAnsi="仿宋"/>
            <w:kern w:val="0"/>
            <w:sz w:val="28"/>
            <w:szCs w:val="28"/>
          </w:rPr>
          <w:t>eec.edu.cn</w:t>
        </w:r>
      </w:hyperlink>
      <w:r w:rsidRPr="00C211E5">
        <w:rPr>
          <w:rFonts w:ascii="仿宋" w:eastAsia="仿宋" w:hAnsi="仿宋" w:hint="eastAsia"/>
          <w:kern w:val="0"/>
          <w:sz w:val="28"/>
          <w:szCs w:val="28"/>
        </w:rPr>
        <w:t>），在此基础上形成《自评报告》和《</w:t>
      </w:r>
      <w:r w:rsidRPr="00C211E5">
        <w:rPr>
          <w:rFonts w:ascii="仿宋" w:eastAsia="仿宋" w:hAnsi="仿宋"/>
          <w:kern w:val="0"/>
          <w:sz w:val="28"/>
          <w:szCs w:val="28"/>
        </w:rPr>
        <w:t>教学基本状态数据分析</w:t>
      </w:r>
      <w:r w:rsidRPr="00C211E5">
        <w:rPr>
          <w:rFonts w:ascii="仿宋" w:eastAsia="仿宋" w:hAnsi="仿宋" w:hint="eastAsia"/>
          <w:kern w:val="0"/>
          <w:sz w:val="28"/>
          <w:szCs w:val="28"/>
        </w:rPr>
        <w:t>报告》，同时提交各年度《本科教学质量报告》。</w:t>
      </w:r>
    </w:p>
    <w:p w:rsidR="00E068B4" w:rsidRPr="00C211E5" w:rsidRDefault="00E068B4" w:rsidP="00E068B4">
      <w:pPr>
        <w:adjustRightInd w:val="0"/>
        <w:snapToGrid w:val="0"/>
        <w:spacing w:line="480" w:lineRule="exact"/>
        <w:rPr>
          <w:rFonts w:ascii="仿宋" w:eastAsia="仿宋" w:hAnsi="仿宋"/>
          <w:kern w:val="0"/>
          <w:sz w:val="28"/>
          <w:szCs w:val="28"/>
        </w:rPr>
      </w:pPr>
      <w:r w:rsidRPr="00C211E5">
        <w:rPr>
          <w:rFonts w:ascii="仿宋" w:eastAsia="仿宋" w:hAnsi="仿宋" w:hint="eastAsia"/>
          <w:kern w:val="0"/>
          <w:sz w:val="28"/>
          <w:szCs w:val="28"/>
        </w:rPr>
        <w:t xml:space="preserve">    12</w:t>
      </w:r>
      <w:r w:rsidRPr="00C211E5">
        <w:rPr>
          <w:rFonts w:ascii="仿宋" w:eastAsia="仿宋" w:hAnsi="仿宋" w:cs="Arial" w:hint="eastAsia"/>
          <w:kern w:val="0"/>
          <w:sz w:val="28"/>
          <w:szCs w:val="28"/>
        </w:rPr>
        <w:t>．</w:t>
      </w:r>
      <w:r w:rsidRPr="00C211E5">
        <w:rPr>
          <w:rFonts w:ascii="仿宋" w:eastAsia="仿宋" w:hAnsi="仿宋" w:hint="eastAsia"/>
          <w:kern w:val="0"/>
          <w:sz w:val="28"/>
          <w:szCs w:val="28"/>
        </w:rPr>
        <w:t>专家进校考察。</w:t>
      </w:r>
      <w:r w:rsidRPr="00C211E5">
        <w:rPr>
          <w:rFonts w:ascii="仿宋" w:eastAsia="仿宋" w:hAnsi="仿宋"/>
          <w:kern w:val="0"/>
          <w:sz w:val="28"/>
          <w:szCs w:val="28"/>
        </w:rPr>
        <w:t>专家组在审核</w:t>
      </w:r>
      <w:r w:rsidRPr="00C211E5">
        <w:rPr>
          <w:rFonts w:ascii="仿宋" w:eastAsia="仿宋" w:hAnsi="仿宋" w:hint="eastAsia"/>
          <w:kern w:val="0"/>
          <w:sz w:val="28"/>
          <w:szCs w:val="28"/>
        </w:rPr>
        <w:t>学校</w:t>
      </w:r>
      <w:r w:rsidRPr="00C211E5">
        <w:rPr>
          <w:rFonts w:ascii="仿宋" w:eastAsia="仿宋" w:hAnsi="仿宋"/>
          <w:kern w:val="0"/>
          <w:sz w:val="28"/>
          <w:szCs w:val="28"/>
        </w:rPr>
        <w:t>《自评报告》</w:t>
      </w:r>
      <w:r w:rsidRPr="00C211E5">
        <w:rPr>
          <w:rFonts w:ascii="仿宋" w:eastAsia="仿宋" w:hAnsi="仿宋" w:hint="eastAsia"/>
          <w:kern w:val="0"/>
          <w:sz w:val="28"/>
          <w:szCs w:val="28"/>
        </w:rPr>
        <w:t>、年度《本科教学质量报告》及《</w:t>
      </w:r>
      <w:r w:rsidRPr="00C211E5">
        <w:rPr>
          <w:rFonts w:ascii="仿宋" w:eastAsia="仿宋" w:hAnsi="仿宋"/>
          <w:kern w:val="0"/>
          <w:sz w:val="28"/>
          <w:szCs w:val="28"/>
        </w:rPr>
        <w:t>教学基本状态数据分析</w:t>
      </w:r>
      <w:r w:rsidRPr="00C211E5">
        <w:rPr>
          <w:rFonts w:ascii="仿宋" w:eastAsia="仿宋" w:hAnsi="仿宋" w:hint="eastAsia"/>
          <w:kern w:val="0"/>
          <w:sz w:val="28"/>
          <w:szCs w:val="28"/>
        </w:rPr>
        <w:t>报告》</w:t>
      </w:r>
      <w:r w:rsidRPr="00C211E5">
        <w:rPr>
          <w:rFonts w:ascii="仿宋" w:eastAsia="仿宋" w:hAnsi="仿宋"/>
          <w:kern w:val="0"/>
          <w:sz w:val="28"/>
          <w:szCs w:val="28"/>
        </w:rPr>
        <w:t>基础上，</w:t>
      </w:r>
      <w:r w:rsidRPr="00C211E5">
        <w:rPr>
          <w:rFonts w:ascii="仿宋" w:eastAsia="仿宋" w:hAnsi="仿宋" w:hint="eastAsia"/>
          <w:kern w:val="0"/>
          <w:sz w:val="28"/>
          <w:szCs w:val="28"/>
        </w:rPr>
        <w:t>通过</w:t>
      </w:r>
      <w:r w:rsidRPr="00C211E5">
        <w:rPr>
          <w:rFonts w:ascii="仿宋" w:eastAsia="仿宋" w:hAnsi="仿宋"/>
          <w:kern w:val="0"/>
          <w:sz w:val="28"/>
          <w:szCs w:val="28"/>
        </w:rPr>
        <w:t>查阅材料、个别访谈、集体访谈、</w:t>
      </w:r>
      <w:r w:rsidRPr="00C211E5">
        <w:rPr>
          <w:rFonts w:ascii="仿宋" w:eastAsia="仿宋" w:hAnsi="仿宋" w:hint="eastAsia"/>
          <w:kern w:val="0"/>
          <w:sz w:val="28"/>
          <w:szCs w:val="28"/>
        </w:rPr>
        <w:t>考察教学设施与</w:t>
      </w:r>
      <w:r w:rsidRPr="00C211E5">
        <w:rPr>
          <w:rFonts w:ascii="仿宋" w:eastAsia="仿宋" w:hAnsi="仿宋" w:hint="eastAsia"/>
          <w:sz w:val="28"/>
          <w:szCs w:val="28"/>
        </w:rPr>
        <w:t>公共服务</w:t>
      </w:r>
      <w:r w:rsidRPr="00C211E5">
        <w:rPr>
          <w:rFonts w:ascii="仿宋" w:eastAsia="仿宋" w:hAnsi="仿宋"/>
          <w:kern w:val="0"/>
          <w:sz w:val="28"/>
          <w:szCs w:val="28"/>
        </w:rPr>
        <w:t>设施</w:t>
      </w:r>
      <w:r w:rsidRPr="00C211E5">
        <w:rPr>
          <w:rFonts w:ascii="仿宋" w:eastAsia="仿宋" w:hAnsi="仿宋" w:hint="eastAsia"/>
          <w:kern w:val="0"/>
          <w:sz w:val="28"/>
          <w:szCs w:val="28"/>
        </w:rPr>
        <w:t>、观摩课堂教学与实践教学</w:t>
      </w:r>
      <w:r w:rsidRPr="00C211E5">
        <w:rPr>
          <w:rFonts w:ascii="仿宋" w:eastAsia="仿宋" w:hAnsi="仿宋"/>
          <w:kern w:val="0"/>
          <w:sz w:val="28"/>
          <w:szCs w:val="28"/>
        </w:rPr>
        <w:t>等</w:t>
      </w:r>
      <w:r w:rsidRPr="00C211E5">
        <w:rPr>
          <w:rFonts w:ascii="仿宋" w:eastAsia="仿宋" w:hAnsi="仿宋" w:hint="eastAsia"/>
          <w:kern w:val="0"/>
          <w:sz w:val="28"/>
          <w:szCs w:val="28"/>
        </w:rPr>
        <w:t>形式，</w:t>
      </w:r>
      <w:r w:rsidRPr="00C211E5">
        <w:rPr>
          <w:rFonts w:ascii="仿宋" w:eastAsia="仿宋" w:hAnsi="仿宋"/>
          <w:kern w:val="0"/>
          <w:sz w:val="28"/>
          <w:szCs w:val="28"/>
        </w:rPr>
        <w:t>对学校教学工作做出公正客观评价，形成</w:t>
      </w:r>
      <w:r w:rsidRPr="00C211E5">
        <w:rPr>
          <w:rFonts w:ascii="仿宋" w:eastAsia="仿宋" w:hAnsi="仿宋" w:hint="eastAsia"/>
          <w:kern w:val="0"/>
          <w:sz w:val="28"/>
          <w:szCs w:val="28"/>
        </w:rPr>
        <w:t>写实性</w:t>
      </w:r>
      <w:r w:rsidRPr="00C211E5">
        <w:rPr>
          <w:rFonts w:ascii="仿宋" w:eastAsia="仿宋" w:hAnsi="仿宋"/>
          <w:kern w:val="0"/>
          <w:sz w:val="28"/>
          <w:szCs w:val="28"/>
        </w:rPr>
        <w:t>《</w:t>
      </w:r>
      <w:r w:rsidRPr="00C211E5">
        <w:rPr>
          <w:rFonts w:ascii="仿宋" w:eastAsia="仿宋" w:hAnsi="仿宋" w:hint="eastAsia"/>
          <w:kern w:val="0"/>
          <w:sz w:val="28"/>
          <w:szCs w:val="28"/>
        </w:rPr>
        <w:t>审核</w:t>
      </w:r>
      <w:r w:rsidRPr="00C211E5">
        <w:rPr>
          <w:rFonts w:ascii="仿宋" w:eastAsia="仿宋" w:hAnsi="仿宋"/>
          <w:kern w:val="0"/>
          <w:sz w:val="28"/>
          <w:szCs w:val="28"/>
        </w:rPr>
        <w:t>评估报告》。</w:t>
      </w:r>
    </w:p>
    <w:p w:rsidR="00E068B4" w:rsidRPr="00C211E5" w:rsidRDefault="00E068B4" w:rsidP="00E068B4">
      <w:pPr>
        <w:adjustRightInd w:val="0"/>
        <w:snapToGrid w:val="0"/>
        <w:spacing w:line="480" w:lineRule="exact"/>
        <w:rPr>
          <w:rFonts w:ascii="仿宋" w:eastAsia="仿宋" w:hAnsi="仿宋" w:cs="Arial" w:hint="eastAsia"/>
          <w:kern w:val="0"/>
          <w:sz w:val="28"/>
          <w:szCs w:val="28"/>
          <w:u w:val="single"/>
        </w:rPr>
      </w:pPr>
      <w:r w:rsidRPr="00C211E5">
        <w:rPr>
          <w:rFonts w:ascii="仿宋" w:eastAsia="仿宋" w:hAnsi="仿宋" w:cs="Arial" w:hint="eastAsia"/>
          <w:kern w:val="0"/>
          <w:sz w:val="28"/>
          <w:szCs w:val="28"/>
        </w:rPr>
        <w:t xml:space="preserve">    13. 评估报告内容。《审核评估报告》应在全面深入考察和准确把握所有审核内容基础上，对各审核项目及其要素的审核情况进行描述，并围绕审核重点对学校本科人才培养总体情况</w:t>
      </w:r>
      <w:proofErr w:type="gramStart"/>
      <w:r w:rsidRPr="00C211E5">
        <w:rPr>
          <w:rFonts w:ascii="仿宋" w:eastAsia="仿宋" w:hAnsi="仿宋" w:cs="Arial" w:hint="eastAsia"/>
          <w:kern w:val="0"/>
          <w:sz w:val="28"/>
          <w:szCs w:val="28"/>
        </w:rPr>
        <w:t>作出</w:t>
      </w:r>
      <w:proofErr w:type="gramEnd"/>
      <w:r w:rsidRPr="00C211E5">
        <w:rPr>
          <w:rFonts w:ascii="仿宋" w:eastAsia="仿宋" w:hAnsi="仿宋" w:cs="Arial" w:hint="eastAsia"/>
          <w:kern w:val="0"/>
          <w:sz w:val="28"/>
          <w:szCs w:val="28"/>
        </w:rPr>
        <w:t>判断和评价，同时明确学校教学工作值得肯定、需要改进和必须整改的方面。</w:t>
      </w:r>
    </w:p>
    <w:p w:rsidR="00E068B4" w:rsidRPr="00C211E5" w:rsidRDefault="00E068B4" w:rsidP="00E068B4">
      <w:pPr>
        <w:adjustRightInd w:val="0"/>
        <w:snapToGrid w:val="0"/>
        <w:spacing w:line="480" w:lineRule="exact"/>
        <w:ind w:firstLine="560"/>
        <w:rPr>
          <w:rFonts w:ascii="仿宋" w:eastAsia="仿宋" w:hAnsi="仿宋" w:cs="Arial" w:hint="eastAsia"/>
          <w:kern w:val="0"/>
          <w:sz w:val="28"/>
          <w:szCs w:val="28"/>
        </w:rPr>
      </w:pPr>
      <w:r w:rsidRPr="00C211E5">
        <w:rPr>
          <w:rFonts w:ascii="仿宋" w:eastAsia="仿宋" w:hAnsi="仿宋" w:cs="Arial" w:hint="eastAsia"/>
          <w:kern w:val="0"/>
          <w:sz w:val="28"/>
          <w:szCs w:val="28"/>
        </w:rPr>
        <w:t>14．评估结论审议与发布。各省</w:t>
      </w:r>
      <w:r>
        <w:rPr>
          <w:rFonts w:ascii="仿宋" w:eastAsia="仿宋" w:hAnsi="仿宋" w:cs="Arial" w:hint="eastAsia"/>
          <w:kern w:val="0"/>
          <w:sz w:val="28"/>
          <w:szCs w:val="28"/>
        </w:rPr>
        <w:t>（区、</w:t>
      </w:r>
      <w:r w:rsidRPr="00C211E5">
        <w:rPr>
          <w:rFonts w:ascii="仿宋" w:eastAsia="仿宋" w:hAnsi="仿宋" w:cs="Arial" w:hint="eastAsia"/>
          <w:kern w:val="0"/>
          <w:sz w:val="28"/>
          <w:szCs w:val="28"/>
        </w:rPr>
        <w:t>市</w:t>
      </w:r>
      <w:r>
        <w:rPr>
          <w:rFonts w:ascii="仿宋" w:eastAsia="仿宋" w:hAnsi="仿宋" w:cs="Arial" w:hint="eastAsia"/>
          <w:kern w:val="0"/>
          <w:sz w:val="28"/>
          <w:szCs w:val="28"/>
        </w:rPr>
        <w:t>）</w:t>
      </w:r>
      <w:r w:rsidRPr="00C211E5">
        <w:rPr>
          <w:rFonts w:ascii="仿宋" w:eastAsia="仿宋" w:hAnsi="仿宋" w:cs="Arial" w:hint="eastAsia"/>
          <w:kern w:val="0"/>
          <w:sz w:val="28"/>
          <w:szCs w:val="28"/>
        </w:rPr>
        <w:t xml:space="preserve">教育行政部门和教育部评估中心应按年度将所组织的审核评估情况形成总结报告报教育部。教育部组织评估专家委员会进行审议，公布审议结果，并由教育部评估中心和各地教育行政部门公开发布参评高校的审核评估结论。 </w:t>
      </w:r>
    </w:p>
    <w:p w:rsidR="00E068B4" w:rsidRPr="00C211E5" w:rsidRDefault="00E068B4" w:rsidP="00E068B4">
      <w:pPr>
        <w:adjustRightInd w:val="0"/>
        <w:snapToGrid w:val="0"/>
        <w:spacing w:line="480" w:lineRule="exact"/>
        <w:ind w:firstLine="560"/>
        <w:rPr>
          <w:rFonts w:ascii="仿宋" w:eastAsia="仿宋" w:hAnsi="仿宋" w:cs="Arial" w:hint="eastAsia"/>
          <w:kern w:val="0"/>
          <w:sz w:val="28"/>
          <w:szCs w:val="28"/>
        </w:rPr>
      </w:pPr>
      <w:r w:rsidRPr="00C211E5">
        <w:rPr>
          <w:rFonts w:ascii="仿宋" w:eastAsia="仿宋" w:hAnsi="仿宋" w:cs="Arial" w:hint="eastAsia"/>
          <w:kern w:val="0"/>
          <w:sz w:val="28"/>
          <w:szCs w:val="28"/>
        </w:rPr>
        <w:t>15. 评估结果。审核评估结果是学校教育教学质量的反映，与学校办学、发展直接相关，学校要根据审核评估中提出的问题及建议进行整改，有</w:t>
      </w:r>
      <w:r w:rsidRPr="00C211E5">
        <w:rPr>
          <w:rFonts w:ascii="仿宋" w:eastAsia="仿宋" w:hAnsi="仿宋" w:cs="Arial" w:hint="eastAsia"/>
          <w:kern w:val="0"/>
          <w:sz w:val="28"/>
          <w:szCs w:val="28"/>
        </w:rPr>
        <w:lastRenderedPageBreak/>
        <w:t>关教育行政部门应对评估学校的整改情况进行指导和检查，并在政策制定、资源配置、招生规模、学科专业建设等方面予以充分考虑，促进学校教学质量不断提高。</w:t>
      </w:r>
    </w:p>
    <w:p w:rsidR="00E068B4" w:rsidRPr="00282BA9" w:rsidRDefault="00E068B4" w:rsidP="00E068B4">
      <w:pPr>
        <w:adjustRightInd w:val="0"/>
        <w:snapToGrid w:val="0"/>
        <w:spacing w:line="480" w:lineRule="exact"/>
        <w:ind w:firstLine="560"/>
        <w:rPr>
          <w:rFonts w:ascii="宋体" w:hAnsi="宋体" w:cs="Arial"/>
          <w:kern w:val="0"/>
          <w:sz w:val="28"/>
          <w:szCs w:val="28"/>
        </w:rPr>
      </w:pPr>
      <w:r w:rsidRPr="00282BA9">
        <w:rPr>
          <w:rFonts w:ascii="黑体" w:eastAsia="黑体" w:hAnsi="黑体" w:hint="eastAsia"/>
          <w:sz w:val="28"/>
          <w:szCs w:val="28"/>
        </w:rPr>
        <w:t>（六）审核评估纪律与监督</w:t>
      </w:r>
    </w:p>
    <w:p w:rsidR="00E068B4" w:rsidRPr="00C211E5" w:rsidRDefault="00E068B4" w:rsidP="00E068B4">
      <w:pPr>
        <w:adjustRightInd w:val="0"/>
        <w:snapToGrid w:val="0"/>
        <w:spacing w:line="480" w:lineRule="exact"/>
        <w:jc w:val="left"/>
        <w:rPr>
          <w:rFonts w:ascii="仿宋" w:eastAsia="仿宋" w:hAnsi="仿宋" w:hint="eastAsia"/>
          <w:kern w:val="0"/>
          <w:sz w:val="28"/>
          <w:szCs w:val="28"/>
        </w:rPr>
      </w:pPr>
      <w:r w:rsidRPr="00282BA9">
        <w:rPr>
          <w:rFonts w:ascii="宋体" w:hAnsi="宋体" w:cs="Arial" w:hint="eastAsia"/>
          <w:kern w:val="0"/>
          <w:sz w:val="28"/>
          <w:szCs w:val="28"/>
        </w:rPr>
        <w:t xml:space="preserve">   </w:t>
      </w:r>
      <w:r w:rsidRPr="00C211E5">
        <w:rPr>
          <w:rFonts w:ascii="宋体" w:hAnsi="宋体" w:cs="Arial" w:hint="eastAsia"/>
          <w:kern w:val="0"/>
          <w:sz w:val="28"/>
          <w:szCs w:val="28"/>
        </w:rPr>
        <w:t xml:space="preserve"> </w:t>
      </w:r>
      <w:r w:rsidRPr="00C211E5">
        <w:rPr>
          <w:rFonts w:ascii="仿宋" w:eastAsia="仿宋" w:hAnsi="仿宋" w:cs="Arial" w:hint="eastAsia"/>
          <w:kern w:val="0"/>
          <w:sz w:val="28"/>
          <w:szCs w:val="28"/>
        </w:rPr>
        <w:t>16. 纪律监督。审核评估要实行信息公开制度，</w:t>
      </w:r>
      <w:r w:rsidRPr="00C211E5">
        <w:rPr>
          <w:rFonts w:ascii="仿宋" w:eastAsia="仿宋" w:hAnsi="仿宋" w:hint="eastAsia"/>
          <w:kern w:val="0"/>
          <w:sz w:val="28"/>
          <w:szCs w:val="28"/>
        </w:rPr>
        <w:t>严肃评估纪律，开展“阳光评估”，广泛接受学校、教师、学生和社会的监督，确保评估工作公平公正。教育部委托评估专家委员会，对参评学校和评估专家以及评估组织工作的规范性、公正性进行监督检查，同时受理有关申诉，对评估过程中违反相关规定的行为进行责任追究，</w:t>
      </w:r>
      <w:proofErr w:type="gramStart"/>
      <w:r w:rsidRPr="00C211E5">
        <w:rPr>
          <w:rFonts w:ascii="仿宋" w:eastAsia="仿宋" w:hAnsi="仿宋" w:hint="eastAsia"/>
          <w:kern w:val="0"/>
          <w:sz w:val="28"/>
          <w:szCs w:val="28"/>
        </w:rPr>
        <w:t>作出</w:t>
      </w:r>
      <w:proofErr w:type="gramEnd"/>
      <w:r w:rsidRPr="00C211E5">
        <w:rPr>
          <w:rFonts w:ascii="仿宋" w:eastAsia="仿宋" w:hAnsi="仿宋" w:hint="eastAsia"/>
          <w:kern w:val="0"/>
          <w:sz w:val="28"/>
          <w:szCs w:val="28"/>
        </w:rPr>
        <w:t>严肃处理。</w:t>
      </w:r>
    </w:p>
    <w:p w:rsidR="00E068B4" w:rsidRPr="00282BA9" w:rsidRDefault="00E068B4" w:rsidP="00E068B4">
      <w:pPr>
        <w:adjustRightInd w:val="0"/>
        <w:snapToGrid w:val="0"/>
        <w:spacing w:line="460" w:lineRule="exact"/>
        <w:jc w:val="center"/>
        <w:rPr>
          <w:rFonts w:ascii="宋体" w:hAnsi="宋体" w:hint="eastAsia"/>
          <w:bCs/>
          <w:sz w:val="32"/>
          <w:szCs w:val="32"/>
        </w:rPr>
      </w:pPr>
    </w:p>
    <w:p w:rsidR="00E068B4" w:rsidRPr="00282BA9" w:rsidRDefault="00E068B4" w:rsidP="00E068B4">
      <w:pPr>
        <w:adjustRightInd w:val="0"/>
        <w:snapToGrid w:val="0"/>
        <w:spacing w:line="460" w:lineRule="exact"/>
        <w:rPr>
          <w:rFonts w:ascii="黑体" w:eastAsia="黑体" w:hAnsi="黑体" w:hint="eastAsia"/>
          <w:bCs/>
          <w:sz w:val="32"/>
          <w:szCs w:val="32"/>
        </w:rPr>
      </w:pPr>
    </w:p>
    <w:p w:rsidR="00E068B4" w:rsidRPr="00282BA9" w:rsidRDefault="00E068B4" w:rsidP="00E068B4">
      <w:pPr>
        <w:adjustRightInd w:val="0"/>
        <w:snapToGrid w:val="0"/>
        <w:spacing w:line="460" w:lineRule="exact"/>
        <w:jc w:val="center"/>
        <w:rPr>
          <w:rFonts w:ascii="黑体" w:eastAsia="黑体" w:hAnsi="黑体" w:hint="eastAsia"/>
          <w:bCs/>
          <w:sz w:val="32"/>
          <w:szCs w:val="32"/>
        </w:rPr>
      </w:pPr>
    </w:p>
    <w:p w:rsidR="00E068B4" w:rsidRPr="00282BA9" w:rsidRDefault="00E068B4" w:rsidP="00E068B4">
      <w:pPr>
        <w:adjustRightInd w:val="0"/>
        <w:snapToGrid w:val="0"/>
        <w:spacing w:line="460" w:lineRule="exact"/>
        <w:jc w:val="center"/>
        <w:rPr>
          <w:rFonts w:ascii="黑体" w:eastAsia="黑体" w:hAnsi="黑体" w:hint="eastAsia"/>
          <w:bCs/>
          <w:sz w:val="32"/>
          <w:szCs w:val="32"/>
        </w:rPr>
      </w:pPr>
    </w:p>
    <w:p w:rsidR="00E068B4" w:rsidRPr="00282BA9" w:rsidRDefault="00E068B4" w:rsidP="00E068B4">
      <w:pPr>
        <w:adjustRightInd w:val="0"/>
        <w:snapToGrid w:val="0"/>
        <w:spacing w:line="460" w:lineRule="exact"/>
        <w:jc w:val="center"/>
        <w:rPr>
          <w:rFonts w:ascii="黑体" w:eastAsia="黑体" w:hAnsi="黑体" w:hint="eastAsia"/>
          <w:bCs/>
          <w:sz w:val="32"/>
          <w:szCs w:val="32"/>
        </w:rPr>
      </w:pPr>
    </w:p>
    <w:p w:rsidR="00E068B4" w:rsidRPr="00282BA9" w:rsidRDefault="00E068B4" w:rsidP="00E068B4">
      <w:pPr>
        <w:adjustRightInd w:val="0"/>
        <w:snapToGrid w:val="0"/>
        <w:spacing w:line="460" w:lineRule="exact"/>
        <w:rPr>
          <w:rFonts w:ascii="黑体" w:eastAsia="黑体" w:hAnsi="黑体" w:hint="eastAsia"/>
          <w:bCs/>
          <w:sz w:val="32"/>
          <w:szCs w:val="32"/>
        </w:rPr>
      </w:pPr>
    </w:p>
    <w:p w:rsidR="00E068B4" w:rsidRPr="00282BA9" w:rsidRDefault="00E068B4" w:rsidP="00E068B4">
      <w:pPr>
        <w:adjustRightInd w:val="0"/>
        <w:snapToGrid w:val="0"/>
        <w:spacing w:line="460" w:lineRule="exact"/>
        <w:jc w:val="center"/>
        <w:rPr>
          <w:rFonts w:ascii="黑体" w:eastAsia="黑体" w:hAnsi="黑体" w:hint="eastAsia"/>
          <w:bCs/>
          <w:sz w:val="32"/>
          <w:szCs w:val="32"/>
        </w:rPr>
      </w:pPr>
    </w:p>
    <w:p w:rsidR="00E068B4" w:rsidRPr="00282BA9" w:rsidRDefault="00E068B4" w:rsidP="00E068B4">
      <w:pPr>
        <w:adjustRightInd w:val="0"/>
        <w:snapToGrid w:val="0"/>
        <w:spacing w:line="460" w:lineRule="exact"/>
        <w:rPr>
          <w:rFonts w:ascii="黑体" w:eastAsia="黑体" w:hAnsi="黑体" w:hint="eastAsia"/>
          <w:bCs/>
          <w:sz w:val="32"/>
          <w:szCs w:val="32"/>
        </w:rPr>
      </w:pPr>
    </w:p>
    <w:p w:rsidR="00E068B4" w:rsidRDefault="00E068B4" w:rsidP="00E068B4">
      <w:pPr>
        <w:adjustRightInd w:val="0"/>
        <w:snapToGrid w:val="0"/>
        <w:spacing w:line="460" w:lineRule="exact"/>
        <w:jc w:val="center"/>
        <w:rPr>
          <w:rFonts w:ascii="黑体" w:eastAsia="黑体" w:hAnsi="黑体" w:hint="eastAsia"/>
          <w:bCs/>
          <w:sz w:val="32"/>
          <w:szCs w:val="32"/>
        </w:rPr>
      </w:pPr>
    </w:p>
    <w:p w:rsidR="00E068B4" w:rsidRPr="00282BA9" w:rsidRDefault="00E068B4" w:rsidP="00E068B4">
      <w:pPr>
        <w:adjustRightInd w:val="0"/>
        <w:snapToGrid w:val="0"/>
        <w:spacing w:line="460" w:lineRule="exact"/>
        <w:jc w:val="center"/>
        <w:rPr>
          <w:rFonts w:ascii="黑体" w:eastAsia="黑体" w:hAnsi="黑体" w:hint="eastAsia"/>
          <w:bCs/>
          <w:sz w:val="32"/>
          <w:szCs w:val="32"/>
        </w:rPr>
      </w:pPr>
      <w:r w:rsidRPr="00282BA9">
        <w:rPr>
          <w:rFonts w:ascii="黑体" w:eastAsia="黑体" w:hAnsi="黑体" w:hint="eastAsia"/>
          <w:bCs/>
          <w:sz w:val="32"/>
          <w:szCs w:val="32"/>
        </w:rPr>
        <w:t>二、普通高等学校本科教学工作审核评估范围</w:t>
      </w:r>
    </w:p>
    <w:p w:rsidR="00E068B4" w:rsidRPr="00282BA9" w:rsidRDefault="00E068B4" w:rsidP="00E068B4">
      <w:pPr>
        <w:adjustRightInd w:val="0"/>
        <w:snapToGrid w:val="0"/>
        <w:spacing w:line="460" w:lineRule="exact"/>
        <w:jc w:val="center"/>
        <w:rPr>
          <w:rFonts w:ascii="宋体" w:hAnsi="宋体" w:hint="eastAsia"/>
          <w:bCs/>
          <w:sz w:val="32"/>
          <w:szCs w:val="32"/>
        </w:rPr>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3"/>
        <w:gridCol w:w="1742"/>
        <w:gridCol w:w="6520"/>
      </w:tblGrid>
      <w:tr w:rsidR="00E068B4" w:rsidRPr="00282BA9" w:rsidTr="00CA2D91">
        <w:trPr>
          <w:cantSplit/>
          <w:trHeight w:val="628"/>
          <w:jc w:val="center"/>
        </w:trPr>
        <w:tc>
          <w:tcPr>
            <w:tcW w:w="1473" w:type="dxa"/>
            <w:vAlign w:val="center"/>
          </w:tcPr>
          <w:p w:rsidR="00E068B4" w:rsidRPr="00C211E5" w:rsidRDefault="00E068B4" w:rsidP="00CA2D91">
            <w:pPr>
              <w:spacing w:beforeLines="50" w:before="156" w:afterLines="50" w:after="156"/>
              <w:ind w:hanging="11"/>
              <w:jc w:val="center"/>
              <w:rPr>
                <w:rFonts w:ascii="宋体" w:hAnsi="宋体" w:cs="Arial" w:hint="eastAsia"/>
                <w:b/>
                <w:kern w:val="0"/>
                <w:sz w:val="24"/>
              </w:rPr>
            </w:pPr>
            <w:r w:rsidRPr="00C211E5">
              <w:rPr>
                <w:rFonts w:ascii="宋体" w:hAnsi="宋体" w:cs="Arial" w:hint="eastAsia"/>
                <w:b/>
                <w:kern w:val="0"/>
                <w:sz w:val="24"/>
              </w:rPr>
              <w:t>审核项目</w:t>
            </w:r>
          </w:p>
        </w:tc>
        <w:tc>
          <w:tcPr>
            <w:tcW w:w="1742" w:type="dxa"/>
            <w:vAlign w:val="center"/>
          </w:tcPr>
          <w:p w:rsidR="00E068B4" w:rsidRPr="00C211E5" w:rsidRDefault="00E068B4" w:rsidP="00CA2D91">
            <w:pPr>
              <w:spacing w:beforeLines="50" w:before="156" w:afterLines="50" w:after="156"/>
              <w:ind w:hanging="11"/>
              <w:jc w:val="center"/>
              <w:rPr>
                <w:rFonts w:ascii="宋体" w:hAnsi="宋体" w:cs="Arial" w:hint="eastAsia"/>
                <w:b/>
                <w:kern w:val="0"/>
                <w:sz w:val="24"/>
              </w:rPr>
            </w:pPr>
            <w:r w:rsidRPr="00C211E5">
              <w:rPr>
                <w:rFonts w:ascii="宋体" w:hAnsi="宋体" w:cs="Arial" w:hint="eastAsia"/>
                <w:b/>
                <w:kern w:val="0"/>
                <w:sz w:val="24"/>
              </w:rPr>
              <w:t>审核要素</w:t>
            </w:r>
          </w:p>
        </w:tc>
        <w:tc>
          <w:tcPr>
            <w:tcW w:w="6520" w:type="dxa"/>
            <w:vAlign w:val="center"/>
          </w:tcPr>
          <w:p w:rsidR="00E068B4" w:rsidRPr="00C211E5" w:rsidRDefault="00E068B4" w:rsidP="00CA2D91">
            <w:pPr>
              <w:spacing w:beforeLines="50" w:before="156" w:afterLines="50" w:after="156"/>
              <w:ind w:hanging="11"/>
              <w:jc w:val="center"/>
              <w:rPr>
                <w:rFonts w:ascii="宋体" w:hAnsi="宋体" w:cs="Arial" w:hint="eastAsia"/>
                <w:b/>
                <w:kern w:val="0"/>
                <w:sz w:val="24"/>
              </w:rPr>
            </w:pPr>
            <w:r w:rsidRPr="00C211E5">
              <w:rPr>
                <w:rFonts w:ascii="宋体" w:hAnsi="宋体" w:cs="Arial" w:hint="eastAsia"/>
                <w:b/>
                <w:kern w:val="0"/>
                <w:sz w:val="24"/>
              </w:rPr>
              <w:t>审核要点</w:t>
            </w:r>
          </w:p>
        </w:tc>
      </w:tr>
      <w:tr w:rsidR="00E068B4" w:rsidRPr="00282BA9" w:rsidTr="00CA2D91">
        <w:trPr>
          <w:cantSplit/>
          <w:trHeight w:val="834"/>
          <w:jc w:val="center"/>
        </w:trPr>
        <w:tc>
          <w:tcPr>
            <w:tcW w:w="1473" w:type="dxa"/>
            <w:vMerge w:val="restart"/>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1.定位与</w:t>
            </w:r>
          </w:p>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目标</w:t>
            </w: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1.1办学定位</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（1）学校办学方向、办学定位及确定依据</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（2）办学定位在学校发展规划中的体现</w:t>
            </w:r>
          </w:p>
        </w:tc>
      </w:tr>
      <w:tr w:rsidR="00E068B4" w:rsidRPr="00282BA9" w:rsidTr="00CA2D91">
        <w:trPr>
          <w:cantSplit/>
          <w:trHeight w:val="846"/>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1.2培养目标</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（1）学校人才</w:t>
            </w:r>
            <w:proofErr w:type="gramStart"/>
            <w:r w:rsidRPr="00C211E5">
              <w:rPr>
                <w:rFonts w:ascii="仿宋" w:eastAsia="仿宋" w:hAnsi="仿宋" w:cs="Arial" w:hint="eastAsia"/>
                <w:kern w:val="0"/>
                <w:sz w:val="24"/>
              </w:rPr>
              <w:t>培养总</w:t>
            </w:r>
            <w:proofErr w:type="gramEnd"/>
            <w:r w:rsidRPr="00C211E5">
              <w:rPr>
                <w:rFonts w:ascii="仿宋" w:eastAsia="仿宋" w:hAnsi="仿宋" w:cs="Arial" w:hint="eastAsia"/>
                <w:kern w:val="0"/>
                <w:sz w:val="24"/>
              </w:rPr>
              <w:t>目标及确定依据</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（2）专业培养目标、标准及确定依据</w:t>
            </w:r>
          </w:p>
        </w:tc>
      </w:tr>
      <w:tr w:rsidR="00E068B4" w:rsidRPr="00282BA9" w:rsidTr="00CA2D91">
        <w:trPr>
          <w:cantSplit/>
          <w:trHeight w:val="1128"/>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1.3人才培养中心地位</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（1）落实学校人才培养中心地位的政策与措施</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（2）人才培养中心地位的体现与效果</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（3）学校领导对本科教学的重视情况</w:t>
            </w:r>
          </w:p>
        </w:tc>
      </w:tr>
      <w:tr w:rsidR="00E068B4" w:rsidRPr="00282BA9" w:rsidTr="00CA2D91">
        <w:trPr>
          <w:cantSplit/>
          <w:trHeight w:val="832"/>
          <w:jc w:val="center"/>
        </w:trPr>
        <w:tc>
          <w:tcPr>
            <w:tcW w:w="1473" w:type="dxa"/>
            <w:vMerge w:val="restart"/>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2.师资队伍</w:t>
            </w: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2.1数量与结构</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（1）教师队伍的数量与结构</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（2）教师队伍建设规划及发展态势</w:t>
            </w:r>
          </w:p>
        </w:tc>
      </w:tr>
      <w:tr w:rsidR="00E068B4" w:rsidRPr="00282BA9" w:rsidTr="00CA2D91">
        <w:trPr>
          <w:cantSplit/>
          <w:trHeight w:val="844"/>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2.2教育教学水平</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（1）专任教师的专业水平与教学能力</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（2）学校师德师风建设措施与效果</w:t>
            </w:r>
          </w:p>
        </w:tc>
      </w:tr>
      <w:tr w:rsidR="00E068B4" w:rsidRPr="00282BA9" w:rsidTr="00CA2D91">
        <w:trPr>
          <w:cantSplit/>
          <w:trHeight w:val="842"/>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2.3教师教学投入</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（1）教授、副教授为本科生上课情况</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（2）教师开展教学研究、参与教学改革与建设情况</w:t>
            </w:r>
          </w:p>
        </w:tc>
      </w:tr>
      <w:tr w:rsidR="00E068B4" w:rsidRPr="00282BA9" w:rsidTr="00CA2D91">
        <w:trPr>
          <w:cantSplit/>
          <w:trHeight w:val="840"/>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2.4教师发展与服务</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（1）提升教师教学能力和专业水平的政策措施</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（2）服务教师职业生涯发展的政策措施</w:t>
            </w:r>
          </w:p>
        </w:tc>
      </w:tr>
      <w:tr w:rsidR="00E068B4" w:rsidRPr="00282BA9" w:rsidTr="00CA2D91">
        <w:trPr>
          <w:cantSplit/>
          <w:trHeight w:val="1145"/>
          <w:jc w:val="center"/>
        </w:trPr>
        <w:tc>
          <w:tcPr>
            <w:tcW w:w="1473" w:type="dxa"/>
            <w:vMerge w:val="restart"/>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3.教学资源</w:t>
            </w: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3.1教学经费</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（1）教学经费投入及保障机制</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（2）学校教学经费年度变化情况</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（3）教学经费分配方式、比例及使用效益</w:t>
            </w:r>
          </w:p>
        </w:tc>
      </w:tr>
      <w:tr w:rsidR="00E068B4" w:rsidRPr="00282BA9" w:rsidTr="00CA2D91">
        <w:trPr>
          <w:cantSplit/>
          <w:trHeight w:val="1110"/>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3.2教学设施</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（1）教学设施满足教学需要情况</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（2）教学、科研设施的开放程度及利用情况</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（3）教学信息化条件及资源建设</w:t>
            </w:r>
          </w:p>
        </w:tc>
      </w:tr>
      <w:tr w:rsidR="00E068B4" w:rsidRPr="00282BA9" w:rsidTr="00CA2D91">
        <w:trPr>
          <w:cantSplit/>
          <w:trHeight w:val="1145"/>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3.3专业设置与培养方案</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（1）专业建设规划与执行</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（2）专业设置与结构调整，优势专业与新专业建设</w:t>
            </w:r>
          </w:p>
          <w:p w:rsidR="00E068B4" w:rsidRPr="00C211E5" w:rsidRDefault="00E068B4" w:rsidP="00CA2D91">
            <w:pPr>
              <w:adjustRightInd w:val="0"/>
              <w:spacing w:beforeLines="10" w:before="31" w:afterLines="10" w:after="31" w:line="180" w:lineRule="auto"/>
              <w:rPr>
                <w:rFonts w:ascii="仿宋" w:eastAsia="仿宋" w:hAnsi="仿宋" w:cs="Arial" w:hint="eastAsia"/>
                <w:kern w:val="0"/>
                <w:sz w:val="24"/>
              </w:rPr>
            </w:pPr>
            <w:r w:rsidRPr="00C211E5">
              <w:rPr>
                <w:rFonts w:ascii="仿宋" w:eastAsia="仿宋" w:hAnsi="仿宋" w:cs="Arial" w:hint="eastAsia"/>
                <w:kern w:val="0"/>
                <w:sz w:val="24"/>
              </w:rPr>
              <w:t>（3）培养方案的制定、执行与调整</w:t>
            </w:r>
          </w:p>
        </w:tc>
      </w:tr>
      <w:tr w:rsidR="00E068B4" w:rsidRPr="00282BA9" w:rsidTr="00CA2D91">
        <w:trPr>
          <w:cantSplit/>
          <w:trHeight w:val="1242"/>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10" w:after="10" w:line="180" w:lineRule="auto"/>
              <w:rPr>
                <w:rFonts w:ascii="仿宋" w:eastAsia="仿宋" w:hAnsi="仿宋" w:cs="Arial" w:hint="eastAsia"/>
                <w:sz w:val="24"/>
              </w:rPr>
            </w:pPr>
            <w:r w:rsidRPr="00C211E5">
              <w:rPr>
                <w:rFonts w:ascii="仿宋" w:eastAsia="仿宋" w:hAnsi="仿宋" w:cs="Arial" w:hint="eastAsia"/>
                <w:kern w:val="0"/>
                <w:sz w:val="24"/>
              </w:rPr>
              <w:t>3.4课程资源</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（1）课程建设规划与执行</w:t>
            </w:r>
          </w:p>
          <w:p w:rsidR="00E068B4" w:rsidRPr="00C211E5" w:rsidRDefault="00E068B4" w:rsidP="00CA2D91">
            <w:pPr>
              <w:adjustRightInd w:val="0"/>
              <w:spacing w:beforeLines="10" w:before="31" w:afterLines="10" w:after="31" w:line="180" w:lineRule="auto"/>
              <w:rPr>
                <w:rFonts w:ascii="仿宋" w:eastAsia="仿宋" w:hAnsi="仿宋" w:cs="Arial" w:hint="eastAsia"/>
                <w:kern w:val="0"/>
                <w:sz w:val="24"/>
              </w:rPr>
            </w:pPr>
            <w:r w:rsidRPr="00C211E5">
              <w:rPr>
                <w:rFonts w:ascii="仿宋" w:eastAsia="仿宋" w:hAnsi="仿宋" w:cs="Arial" w:hint="eastAsia"/>
                <w:kern w:val="0"/>
                <w:sz w:val="24"/>
              </w:rPr>
              <w:t>（2）课程的数量、结构及优质课程资源建设</w:t>
            </w:r>
          </w:p>
          <w:p w:rsidR="00E068B4" w:rsidRPr="00C211E5" w:rsidRDefault="00E068B4" w:rsidP="00CA2D91">
            <w:pPr>
              <w:adjustRightInd w:val="0"/>
              <w:spacing w:beforeLines="10" w:before="31" w:afterLines="10" w:after="31" w:line="180" w:lineRule="auto"/>
              <w:rPr>
                <w:rFonts w:ascii="仿宋" w:eastAsia="仿宋" w:hAnsi="仿宋" w:cs="Arial" w:hint="eastAsia"/>
                <w:kern w:val="0"/>
                <w:sz w:val="24"/>
              </w:rPr>
            </w:pPr>
            <w:r w:rsidRPr="00C211E5">
              <w:rPr>
                <w:rFonts w:ascii="仿宋" w:eastAsia="仿宋" w:hAnsi="仿宋" w:cs="Arial" w:hint="eastAsia"/>
                <w:kern w:val="0"/>
                <w:sz w:val="24"/>
              </w:rPr>
              <w:t>（3）教材建设与选用</w:t>
            </w:r>
          </w:p>
        </w:tc>
      </w:tr>
      <w:tr w:rsidR="00E068B4" w:rsidRPr="00282BA9" w:rsidTr="00CA2D91">
        <w:trPr>
          <w:cantSplit/>
          <w:trHeight w:val="1117"/>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10" w:after="10" w:line="180" w:lineRule="auto"/>
              <w:rPr>
                <w:rFonts w:ascii="仿宋" w:eastAsia="仿宋" w:hAnsi="仿宋" w:cs="Arial" w:hint="eastAsia"/>
                <w:kern w:val="0"/>
                <w:sz w:val="24"/>
              </w:rPr>
            </w:pPr>
            <w:r w:rsidRPr="00C211E5">
              <w:rPr>
                <w:rFonts w:ascii="仿宋" w:eastAsia="仿宋" w:hAnsi="仿宋" w:cs="Arial" w:hint="eastAsia"/>
                <w:sz w:val="24"/>
              </w:rPr>
              <w:t>3.5社会资源</w:t>
            </w:r>
          </w:p>
        </w:tc>
        <w:tc>
          <w:tcPr>
            <w:tcW w:w="6520" w:type="dxa"/>
            <w:vAlign w:val="center"/>
          </w:tcPr>
          <w:p w:rsidR="00E068B4" w:rsidRPr="00C211E5" w:rsidRDefault="00E068B4" w:rsidP="00CA2D91">
            <w:pPr>
              <w:adjustRightInd w:val="0"/>
              <w:spacing w:beforeLines="10" w:before="31" w:afterLines="10" w:after="31" w:line="180" w:lineRule="auto"/>
              <w:rPr>
                <w:rFonts w:ascii="仿宋" w:eastAsia="仿宋" w:hAnsi="仿宋" w:cs="Arial" w:hint="eastAsia"/>
                <w:kern w:val="0"/>
                <w:sz w:val="24"/>
              </w:rPr>
            </w:pPr>
            <w:r w:rsidRPr="00C211E5">
              <w:rPr>
                <w:rFonts w:ascii="仿宋" w:eastAsia="仿宋" w:hAnsi="仿宋" w:cs="Arial" w:hint="eastAsia"/>
                <w:kern w:val="0"/>
                <w:sz w:val="24"/>
              </w:rPr>
              <w:t>（1）合作办学、合作育人的措施与效果</w:t>
            </w:r>
          </w:p>
          <w:p w:rsidR="00E068B4" w:rsidRPr="00C211E5" w:rsidRDefault="00E068B4" w:rsidP="00CA2D91">
            <w:pPr>
              <w:adjustRightInd w:val="0"/>
              <w:spacing w:beforeLines="10" w:before="31" w:afterLines="10" w:after="31" w:line="180" w:lineRule="auto"/>
              <w:rPr>
                <w:rFonts w:ascii="仿宋" w:eastAsia="仿宋" w:hAnsi="仿宋" w:cs="Arial" w:hint="eastAsia"/>
                <w:kern w:val="0"/>
                <w:sz w:val="24"/>
              </w:rPr>
            </w:pPr>
            <w:r w:rsidRPr="00C211E5">
              <w:rPr>
                <w:rFonts w:ascii="仿宋" w:eastAsia="仿宋" w:hAnsi="仿宋" w:cs="Arial" w:hint="eastAsia"/>
                <w:kern w:val="0"/>
                <w:sz w:val="24"/>
              </w:rPr>
              <w:t>（2）共建教学资源情况</w:t>
            </w:r>
          </w:p>
          <w:p w:rsidR="00E068B4" w:rsidRPr="00C211E5" w:rsidRDefault="00E068B4" w:rsidP="00CA2D91">
            <w:pPr>
              <w:adjustRightInd w:val="0"/>
              <w:spacing w:beforeLines="10" w:before="31" w:afterLines="10" w:after="31" w:line="180" w:lineRule="auto"/>
              <w:rPr>
                <w:rFonts w:ascii="仿宋" w:eastAsia="仿宋" w:hAnsi="仿宋" w:cs="Arial" w:hint="eastAsia"/>
                <w:kern w:val="0"/>
                <w:sz w:val="24"/>
              </w:rPr>
            </w:pPr>
            <w:r w:rsidRPr="00C211E5">
              <w:rPr>
                <w:rFonts w:ascii="仿宋" w:eastAsia="仿宋" w:hAnsi="仿宋" w:cs="Arial" w:hint="eastAsia"/>
                <w:kern w:val="0"/>
                <w:sz w:val="24"/>
              </w:rPr>
              <w:t>（3）社会捐赠情况</w:t>
            </w:r>
          </w:p>
        </w:tc>
      </w:tr>
      <w:tr w:rsidR="00E068B4" w:rsidRPr="00282BA9" w:rsidTr="00CA2D91">
        <w:trPr>
          <w:cantSplit/>
          <w:trHeight w:val="1125"/>
          <w:jc w:val="center"/>
        </w:trPr>
        <w:tc>
          <w:tcPr>
            <w:tcW w:w="1473" w:type="dxa"/>
            <w:vMerge w:val="restart"/>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4.培养过程</w:t>
            </w: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4.1教学改革</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（1）教学改革的总体思路及政策措施</w:t>
            </w:r>
          </w:p>
          <w:p w:rsidR="00E068B4" w:rsidRPr="00C211E5" w:rsidRDefault="00E068B4" w:rsidP="00CA2D91">
            <w:pPr>
              <w:adjustRightInd w:val="0"/>
              <w:snapToGrid w:val="0"/>
              <w:spacing w:beforeLines="10" w:before="31" w:afterLines="10" w:after="31" w:line="180" w:lineRule="auto"/>
              <w:ind w:hanging="11"/>
              <w:rPr>
                <w:rFonts w:ascii="仿宋" w:eastAsia="仿宋" w:hAnsi="仿宋" w:cs="Arial" w:hint="eastAsia"/>
                <w:kern w:val="0"/>
                <w:sz w:val="24"/>
              </w:rPr>
            </w:pPr>
            <w:r w:rsidRPr="00C211E5">
              <w:rPr>
                <w:rFonts w:ascii="仿宋" w:eastAsia="仿宋" w:hAnsi="仿宋" w:cs="Arial" w:hint="eastAsia"/>
                <w:kern w:val="0"/>
                <w:sz w:val="24"/>
              </w:rPr>
              <w:t>（2）人才培养模式改革，人才培养体制、机制改革</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（3）教学及管理信息化</w:t>
            </w:r>
          </w:p>
        </w:tc>
      </w:tr>
      <w:tr w:rsidR="00E068B4" w:rsidRPr="00282BA9" w:rsidTr="00CA2D91">
        <w:trPr>
          <w:cantSplit/>
          <w:trHeight w:val="1410"/>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4.2课堂教学</w:t>
            </w:r>
          </w:p>
        </w:tc>
        <w:tc>
          <w:tcPr>
            <w:tcW w:w="6520" w:type="dxa"/>
            <w:vAlign w:val="center"/>
          </w:tcPr>
          <w:p w:rsidR="00E068B4" w:rsidRPr="00C211E5" w:rsidRDefault="00E068B4" w:rsidP="00CA2D91">
            <w:pPr>
              <w:adjustRightInd w:val="0"/>
              <w:spacing w:beforeLines="10" w:before="31" w:afterLines="10" w:after="31" w:line="180" w:lineRule="auto"/>
              <w:rPr>
                <w:rFonts w:ascii="仿宋" w:eastAsia="仿宋" w:hAnsi="仿宋" w:cs="Arial" w:hint="eastAsia"/>
                <w:kern w:val="0"/>
                <w:sz w:val="24"/>
              </w:rPr>
            </w:pPr>
            <w:r w:rsidRPr="00C211E5">
              <w:rPr>
                <w:rFonts w:ascii="仿宋" w:eastAsia="仿宋" w:hAnsi="仿宋" w:cs="Arial" w:hint="eastAsia"/>
                <w:kern w:val="0"/>
                <w:sz w:val="24"/>
              </w:rPr>
              <w:t>（1）教学大纲的制订与执行</w:t>
            </w:r>
          </w:p>
          <w:p w:rsidR="00E068B4" w:rsidRPr="00C211E5" w:rsidRDefault="00E068B4" w:rsidP="00CA2D91">
            <w:pPr>
              <w:adjustRightInd w:val="0"/>
              <w:spacing w:beforeLines="10" w:before="31" w:afterLines="10" w:after="31" w:line="180" w:lineRule="auto"/>
              <w:rPr>
                <w:rFonts w:ascii="仿宋" w:eastAsia="仿宋" w:hAnsi="仿宋" w:cs="Arial" w:hint="eastAsia"/>
                <w:kern w:val="0"/>
                <w:sz w:val="24"/>
              </w:rPr>
            </w:pPr>
            <w:r w:rsidRPr="00C211E5">
              <w:rPr>
                <w:rFonts w:ascii="仿宋" w:eastAsia="仿宋" w:hAnsi="仿宋" w:cs="Arial" w:hint="eastAsia"/>
                <w:kern w:val="0"/>
                <w:sz w:val="24"/>
              </w:rPr>
              <w:t>（2）教学内容对人才培养目标的体现，科研转化教学</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（3）教师教学方法，学生学习方式</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（4）考试考核的方式方法及管理</w:t>
            </w:r>
          </w:p>
        </w:tc>
      </w:tr>
      <w:tr w:rsidR="00E068B4" w:rsidRPr="00282BA9" w:rsidTr="00CA2D91">
        <w:trPr>
          <w:cantSplit/>
          <w:trHeight w:val="1120"/>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4.3实践教学</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（1）实践教学体系建设</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（2）实验教学与实验室开放情况</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（3）实习实训、社会实践、毕业设计（论文）的落实及效果</w:t>
            </w:r>
          </w:p>
        </w:tc>
      </w:tr>
      <w:tr w:rsidR="00E068B4" w:rsidRPr="00282BA9" w:rsidTr="00CA2D91">
        <w:trPr>
          <w:cantSplit/>
          <w:trHeight w:val="1178"/>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4.4第二课堂</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（1）第二课堂育人体系建设与保障措施</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（2）社团建设与校园文化、科技活动及育人效果</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（3）学生国内外交流学习情况</w:t>
            </w:r>
          </w:p>
        </w:tc>
      </w:tr>
      <w:tr w:rsidR="00E068B4" w:rsidRPr="00282BA9" w:rsidTr="00CA2D91">
        <w:trPr>
          <w:cantSplit/>
          <w:trHeight w:val="784"/>
          <w:jc w:val="center"/>
        </w:trPr>
        <w:tc>
          <w:tcPr>
            <w:tcW w:w="1473" w:type="dxa"/>
            <w:vMerge w:val="restart"/>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lastRenderedPageBreak/>
              <w:t>5.学生发展</w:t>
            </w: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5.1招生及生源情况</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（1）学校总体生源状况</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（2）各专业生源数量及特征</w:t>
            </w:r>
          </w:p>
        </w:tc>
      </w:tr>
      <w:tr w:rsidR="00E068B4" w:rsidRPr="00282BA9" w:rsidTr="00CA2D91">
        <w:trPr>
          <w:cantSplit/>
          <w:trHeight w:val="979"/>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5.2学生指导与服务</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（1）学生指导与服务的内容及效果</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（2）学生指导与服务的组织与条件保障</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（3）学生对指导与服务的评价</w:t>
            </w:r>
          </w:p>
        </w:tc>
      </w:tr>
      <w:tr w:rsidR="00E068B4" w:rsidRPr="00282BA9" w:rsidTr="00CA2D91">
        <w:trPr>
          <w:cantSplit/>
          <w:trHeight w:val="1145"/>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5.3学风与学习效果</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（1）学风建设的措施与效果</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（2）学生学业成绩及综合素质表现</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（3）学生对自我学习与成长的满意度</w:t>
            </w:r>
          </w:p>
        </w:tc>
      </w:tr>
      <w:tr w:rsidR="00E068B4" w:rsidRPr="00282BA9" w:rsidTr="00CA2D91">
        <w:trPr>
          <w:cantSplit/>
          <w:trHeight w:val="760"/>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5.4就业与发展</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（1）毕业生就业率与职业发展情况</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（2）用人单位对毕业生评价</w:t>
            </w:r>
          </w:p>
        </w:tc>
      </w:tr>
      <w:tr w:rsidR="00E068B4" w:rsidRPr="00282BA9" w:rsidTr="00CA2D91">
        <w:trPr>
          <w:cantSplit/>
          <w:trHeight w:val="1239"/>
          <w:jc w:val="center"/>
        </w:trPr>
        <w:tc>
          <w:tcPr>
            <w:tcW w:w="1473" w:type="dxa"/>
            <w:vMerge w:val="restart"/>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6.质量保障</w:t>
            </w: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6.1教学质量保障体系</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（1）质量标准建设</w:t>
            </w:r>
          </w:p>
          <w:p w:rsidR="00E068B4" w:rsidRPr="00C211E5" w:rsidRDefault="00E068B4" w:rsidP="00CA2D91">
            <w:pPr>
              <w:adjustRightInd w:val="0"/>
              <w:spacing w:beforeLines="10" w:before="31" w:afterLines="10" w:after="31" w:line="180" w:lineRule="auto"/>
              <w:ind w:hanging="13"/>
              <w:rPr>
                <w:rFonts w:ascii="仿宋" w:eastAsia="仿宋" w:hAnsi="仿宋" w:cs="Arial"/>
                <w:kern w:val="0"/>
                <w:sz w:val="24"/>
              </w:rPr>
            </w:pPr>
            <w:r w:rsidRPr="00C211E5">
              <w:rPr>
                <w:rFonts w:ascii="仿宋" w:eastAsia="仿宋" w:hAnsi="仿宋" w:cs="Arial" w:hint="eastAsia"/>
                <w:kern w:val="0"/>
                <w:sz w:val="24"/>
              </w:rPr>
              <w:t>（2）学校质量保障模式及体系结构</w:t>
            </w:r>
          </w:p>
          <w:p w:rsidR="00E068B4" w:rsidRPr="00C211E5" w:rsidRDefault="00E068B4" w:rsidP="00CA2D91">
            <w:pPr>
              <w:adjustRightInd w:val="0"/>
              <w:spacing w:beforeLines="10" w:before="31" w:afterLines="10" w:after="31" w:line="180" w:lineRule="auto"/>
              <w:ind w:hanging="13"/>
              <w:rPr>
                <w:rFonts w:ascii="仿宋" w:eastAsia="仿宋" w:hAnsi="仿宋" w:cs="Arial"/>
                <w:kern w:val="0"/>
                <w:sz w:val="24"/>
              </w:rPr>
            </w:pPr>
            <w:r w:rsidRPr="00C211E5">
              <w:rPr>
                <w:rFonts w:ascii="仿宋" w:eastAsia="仿宋" w:hAnsi="仿宋" w:cs="Arial" w:hint="eastAsia"/>
                <w:kern w:val="0"/>
                <w:sz w:val="24"/>
              </w:rPr>
              <w:t>（3）质量保障体系的组织、制度建设</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（4）教学质量管理队伍建设</w:t>
            </w:r>
          </w:p>
        </w:tc>
      </w:tr>
      <w:tr w:rsidR="00E068B4" w:rsidRPr="00282BA9" w:rsidTr="00CA2D91">
        <w:trPr>
          <w:cantSplit/>
          <w:trHeight w:val="760"/>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6.2质量监控</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（1）自我评估及质量监控的内容与方式</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（2）自我评估及质量监控的实施效果</w:t>
            </w:r>
          </w:p>
        </w:tc>
      </w:tr>
      <w:tr w:rsidR="00E068B4" w:rsidRPr="00282BA9" w:rsidTr="00CA2D91">
        <w:trPr>
          <w:cantSplit/>
          <w:trHeight w:val="983"/>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6.3质量信息及利用</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（1）校内教学基本状态数据库建设情况</w:t>
            </w:r>
          </w:p>
          <w:p w:rsidR="00E068B4" w:rsidRPr="00C211E5" w:rsidRDefault="00E068B4" w:rsidP="00CA2D91">
            <w:pPr>
              <w:adjustRightInd w:val="0"/>
              <w:spacing w:beforeLines="10" w:before="31" w:afterLines="10" w:after="31" w:line="120" w:lineRule="auto"/>
              <w:ind w:hanging="11"/>
              <w:rPr>
                <w:rFonts w:ascii="仿宋" w:eastAsia="仿宋" w:hAnsi="仿宋" w:cs="Arial" w:hint="eastAsia"/>
                <w:kern w:val="0"/>
                <w:sz w:val="24"/>
              </w:rPr>
            </w:pPr>
            <w:r w:rsidRPr="00C211E5">
              <w:rPr>
                <w:rFonts w:ascii="仿宋" w:eastAsia="仿宋" w:hAnsi="仿宋" w:cs="Arial" w:hint="eastAsia"/>
                <w:kern w:val="0"/>
                <w:sz w:val="24"/>
              </w:rPr>
              <w:t>（2）质量信息统计、分析、反馈机制</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（3）质量信息公开及年度质量报告</w:t>
            </w:r>
          </w:p>
        </w:tc>
      </w:tr>
      <w:tr w:rsidR="00E068B4" w:rsidRPr="00282BA9" w:rsidTr="00CA2D91">
        <w:trPr>
          <w:cantSplit/>
          <w:trHeight w:val="760"/>
          <w:jc w:val="center"/>
        </w:trPr>
        <w:tc>
          <w:tcPr>
            <w:tcW w:w="1473" w:type="dxa"/>
            <w:vMerge/>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p>
        </w:tc>
        <w:tc>
          <w:tcPr>
            <w:tcW w:w="1742"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6.4质量改进</w:t>
            </w:r>
          </w:p>
        </w:tc>
        <w:tc>
          <w:tcPr>
            <w:tcW w:w="6520" w:type="dxa"/>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 xml:space="preserve">（1）质量改进的途径与方法 </w:t>
            </w:r>
          </w:p>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（2）质量改进的效果与评价</w:t>
            </w:r>
          </w:p>
        </w:tc>
      </w:tr>
      <w:tr w:rsidR="00E068B4" w:rsidRPr="00282BA9" w:rsidTr="00CA2D91">
        <w:trPr>
          <w:cantSplit/>
          <w:trHeight w:val="762"/>
          <w:jc w:val="center"/>
        </w:trPr>
        <w:tc>
          <w:tcPr>
            <w:tcW w:w="1473" w:type="dxa"/>
            <w:vAlign w:val="center"/>
          </w:tcPr>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自选特色</w:t>
            </w:r>
          </w:p>
          <w:p w:rsidR="00E068B4" w:rsidRPr="00C211E5" w:rsidRDefault="00E068B4" w:rsidP="00CA2D91">
            <w:pPr>
              <w:adjustRightInd w:val="0"/>
              <w:spacing w:beforeLines="10" w:before="31" w:afterLines="10" w:after="31" w:line="180" w:lineRule="auto"/>
              <w:ind w:hanging="13"/>
              <w:jc w:val="center"/>
              <w:rPr>
                <w:rFonts w:ascii="仿宋" w:eastAsia="仿宋" w:hAnsi="仿宋" w:cs="Arial" w:hint="eastAsia"/>
                <w:kern w:val="0"/>
                <w:sz w:val="24"/>
              </w:rPr>
            </w:pPr>
            <w:r w:rsidRPr="00C211E5">
              <w:rPr>
                <w:rFonts w:ascii="仿宋" w:eastAsia="仿宋" w:hAnsi="仿宋" w:cs="Arial" w:hint="eastAsia"/>
                <w:kern w:val="0"/>
                <w:sz w:val="24"/>
              </w:rPr>
              <w:t>项目</w:t>
            </w:r>
          </w:p>
        </w:tc>
        <w:tc>
          <w:tcPr>
            <w:tcW w:w="8262" w:type="dxa"/>
            <w:gridSpan w:val="2"/>
            <w:vAlign w:val="center"/>
          </w:tcPr>
          <w:p w:rsidR="00E068B4" w:rsidRPr="00C211E5" w:rsidRDefault="00E068B4" w:rsidP="00CA2D91">
            <w:pPr>
              <w:adjustRightInd w:val="0"/>
              <w:spacing w:beforeLines="10" w:before="31" w:afterLines="10" w:after="31" w:line="180" w:lineRule="auto"/>
              <w:ind w:hanging="13"/>
              <w:rPr>
                <w:rFonts w:ascii="仿宋" w:eastAsia="仿宋" w:hAnsi="仿宋" w:cs="Arial" w:hint="eastAsia"/>
                <w:kern w:val="0"/>
                <w:sz w:val="24"/>
              </w:rPr>
            </w:pPr>
            <w:r w:rsidRPr="00C211E5">
              <w:rPr>
                <w:rFonts w:ascii="仿宋" w:eastAsia="仿宋" w:hAnsi="仿宋" w:cs="Arial" w:hint="eastAsia"/>
                <w:kern w:val="0"/>
                <w:sz w:val="24"/>
              </w:rPr>
              <w:t>学校可自行选择有特色的补充项目</w:t>
            </w:r>
          </w:p>
        </w:tc>
      </w:tr>
    </w:tbl>
    <w:p w:rsidR="00DF7623" w:rsidRPr="00E068B4" w:rsidRDefault="00DF7623" w:rsidP="00E068B4">
      <w:pPr>
        <w:spacing w:line="240" w:lineRule="exact"/>
        <w:ind w:right="1281"/>
        <w:rPr>
          <w:rFonts w:hint="eastAsia"/>
          <w:sz w:val="32"/>
          <w:szCs w:val="32"/>
        </w:rPr>
      </w:pPr>
    </w:p>
    <w:sectPr w:rsidR="00DF7623" w:rsidRPr="00E068B4" w:rsidSect="00E068B4">
      <w:footerReference w:type="even" r:id="rId8"/>
      <w:footerReference w:type="default" r:id="rId9"/>
      <w:pgSz w:w="11906" w:h="16838"/>
      <w:pgMar w:top="1418" w:right="1418" w:bottom="1418" w:left="1418" w:header="851" w:footer="992" w:gutter="0"/>
      <w:pgNumType w:start="1"/>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CF7" w:rsidRDefault="00542CF7" w:rsidP="002D6679">
      <w:r>
        <w:separator/>
      </w:r>
    </w:p>
  </w:endnote>
  <w:endnote w:type="continuationSeparator" w:id="0">
    <w:p w:rsidR="00542CF7" w:rsidRDefault="00542CF7" w:rsidP="002D6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1E5" w:rsidRDefault="00542CF7" w:rsidP="00A568EE">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C211E5" w:rsidRDefault="00542CF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1E5" w:rsidRDefault="00542CF7" w:rsidP="00A568EE">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068B4">
      <w:rPr>
        <w:rStyle w:val="a8"/>
        <w:noProof/>
      </w:rPr>
      <w:t>7</w:t>
    </w:r>
    <w:r>
      <w:rPr>
        <w:rStyle w:val="a8"/>
      </w:rPr>
      <w:fldChar w:fldCharType="end"/>
    </w:r>
  </w:p>
  <w:p w:rsidR="00C211E5" w:rsidRDefault="00542CF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CF7" w:rsidRDefault="00542CF7" w:rsidP="002D6679">
      <w:r>
        <w:separator/>
      </w:r>
    </w:p>
  </w:footnote>
  <w:footnote w:type="continuationSeparator" w:id="0">
    <w:p w:rsidR="00542CF7" w:rsidRDefault="00542CF7" w:rsidP="002D66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B3A36"/>
    <w:multiLevelType w:val="hybridMultilevel"/>
    <w:tmpl w:val="7E2286E4"/>
    <w:lvl w:ilvl="0" w:tplc="9F36514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A14"/>
    <w:rsid w:val="00127DFA"/>
    <w:rsid w:val="002D6679"/>
    <w:rsid w:val="00542CF7"/>
    <w:rsid w:val="008D3A14"/>
    <w:rsid w:val="00DF7623"/>
    <w:rsid w:val="00E0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E19059-FF1E-4DBA-BD10-6203878A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3A14"/>
    <w:rPr>
      <w:strike w:val="0"/>
      <w:dstrike w:val="0"/>
      <w:color w:val="000000"/>
      <w:u w:val="none"/>
      <w:effect w:val="none"/>
    </w:rPr>
  </w:style>
  <w:style w:type="character" w:styleId="a4">
    <w:name w:val="Strong"/>
    <w:basedOn w:val="a0"/>
    <w:uiPriority w:val="22"/>
    <w:qFormat/>
    <w:rsid w:val="008D3A14"/>
    <w:rPr>
      <w:b/>
      <w:bCs/>
    </w:rPr>
  </w:style>
  <w:style w:type="paragraph" w:styleId="a5">
    <w:name w:val="Balloon Text"/>
    <w:basedOn w:val="a"/>
    <w:link w:val="Char"/>
    <w:uiPriority w:val="99"/>
    <w:semiHidden/>
    <w:unhideWhenUsed/>
    <w:rsid w:val="008D3A14"/>
    <w:rPr>
      <w:sz w:val="18"/>
      <w:szCs w:val="18"/>
    </w:rPr>
  </w:style>
  <w:style w:type="character" w:customStyle="1" w:styleId="Char">
    <w:name w:val="批注框文本 Char"/>
    <w:basedOn w:val="a0"/>
    <w:link w:val="a5"/>
    <w:uiPriority w:val="99"/>
    <w:semiHidden/>
    <w:rsid w:val="008D3A14"/>
    <w:rPr>
      <w:sz w:val="18"/>
      <w:szCs w:val="18"/>
    </w:rPr>
  </w:style>
  <w:style w:type="paragraph" w:styleId="a6">
    <w:name w:val="header"/>
    <w:basedOn w:val="a"/>
    <w:link w:val="Char0"/>
    <w:uiPriority w:val="99"/>
    <w:unhideWhenUsed/>
    <w:rsid w:val="002D66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D6679"/>
    <w:rPr>
      <w:sz w:val="18"/>
      <w:szCs w:val="18"/>
    </w:rPr>
  </w:style>
  <w:style w:type="paragraph" w:styleId="a7">
    <w:name w:val="footer"/>
    <w:basedOn w:val="a"/>
    <w:link w:val="Char1"/>
    <w:unhideWhenUsed/>
    <w:rsid w:val="002D6679"/>
    <w:pPr>
      <w:tabs>
        <w:tab w:val="center" w:pos="4153"/>
        <w:tab w:val="right" w:pos="8306"/>
      </w:tabs>
      <w:snapToGrid w:val="0"/>
      <w:jc w:val="left"/>
    </w:pPr>
    <w:rPr>
      <w:sz w:val="18"/>
      <w:szCs w:val="18"/>
    </w:rPr>
  </w:style>
  <w:style w:type="character" w:customStyle="1" w:styleId="Char1">
    <w:name w:val="页脚 Char"/>
    <w:basedOn w:val="a0"/>
    <w:link w:val="a7"/>
    <w:uiPriority w:val="99"/>
    <w:rsid w:val="002D6679"/>
    <w:rPr>
      <w:sz w:val="18"/>
      <w:szCs w:val="18"/>
    </w:rPr>
  </w:style>
  <w:style w:type="character" w:styleId="a8">
    <w:name w:val="page number"/>
    <w:basedOn w:val="a0"/>
    <w:rsid w:val="00E0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597522">
      <w:bodyDiv w:val="1"/>
      <w:marLeft w:val="0"/>
      <w:marRight w:val="0"/>
      <w:marTop w:val="0"/>
      <w:marBottom w:val="0"/>
      <w:divBdr>
        <w:top w:val="none" w:sz="0" w:space="0" w:color="auto"/>
        <w:left w:val="none" w:sz="0" w:space="0" w:color="auto"/>
        <w:bottom w:val="none" w:sz="0" w:space="0" w:color="auto"/>
        <w:right w:val="none" w:sz="0" w:space="0" w:color="auto"/>
      </w:divBdr>
      <w:divsChild>
        <w:div w:id="1736779852">
          <w:marLeft w:val="0"/>
          <w:marRight w:val="0"/>
          <w:marTop w:val="0"/>
          <w:marBottom w:val="0"/>
          <w:divBdr>
            <w:top w:val="none" w:sz="0" w:space="0" w:color="auto"/>
            <w:left w:val="none" w:sz="0" w:space="0" w:color="auto"/>
            <w:bottom w:val="none" w:sz="0" w:space="0" w:color="auto"/>
            <w:right w:val="none" w:sz="0" w:space="0" w:color="auto"/>
          </w:divBdr>
          <w:divsChild>
            <w:div w:id="776025515">
              <w:marLeft w:val="0"/>
              <w:marRight w:val="0"/>
              <w:marTop w:val="0"/>
              <w:marBottom w:val="0"/>
              <w:divBdr>
                <w:top w:val="none" w:sz="0" w:space="0" w:color="auto"/>
                <w:left w:val="none" w:sz="0" w:space="0" w:color="auto"/>
                <w:bottom w:val="none" w:sz="0" w:space="0" w:color="auto"/>
                <w:right w:val="none" w:sz="0" w:space="0" w:color="auto"/>
              </w:divBdr>
              <w:divsChild>
                <w:div w:id="1578124050">
                  <w:marLeft w:val="0"/>
                  <w:marRight w:val="0"/>
                  <w:marTop w:val="0"/>
                  <w:marBottom w:val="0"/>
                  <w:divBdr>
                    <w:top w:val="none" w:sz="0" w:space="0" w:color="auto"/>
                    <w:left w:val="none" w:sz="0" w:space="0" w:color="auto"/>
                    <w:bottom w:val="none" w:sz="0" w:space="0" w:color="auto"/>
                    <w:right w:val="none" w:sz="0" w:space="0" w:color="auto"/>
                  </w:divBdr>
                  <w:divsChild>
                    <w:div w:id="73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oe.gov.cn/ewebeditor/uploadfile/2013/12/19/20131219113137886.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_yun_jwc</dc:creator>
  <cp:keywords/>
  <dc:description/>
  <cp:lastModifiedBy>_yun_jwc</cp:lastModifiedBy>
  <cp:revision>3</cp:revision>
  <cp:lastPrinted>2016-08-26T00:56:00Z</cp:lastPrinted>
  <dcterms:created xsi:type="dcterms:W3CDTF">2016-08-26T00:54:00Z</dcterms:created>
  <dcterms:modified xsi:type="dcterms:W3CDTF">2016-10-06T01:59:00Z</dcterms:modified>
</cp:coreProperties>
</file>