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tblCellMar>
          <w:left w:w="0" w:type="dxa"/>
          <w:right w:w="0" w:type="dxa"/>
        </w:tblCellMar>
        <w:tblLook w:val="04A0" w:firstRow="1" w:lastRow="0" w:firstColumn="1" w:lastColumn="0" w:noHBand="0" w:noVBand="1"/>
      </w:tblPr>
      <w:tblGrid>
        <w:gridCol w:w="9070"/>
      </w:tblGrid>
      <w:tr w:rsidR="00D31BA8" w:rsidRPr="00D31BA8">
        <w:trPr>
          <w:tblCellSpacing w:w="0" w:type="dxa"/>
          <w:jc w:val="center"/>
        </w:trPr>
        <w:tc>
          <w:tcPr>
            <w:tcW w:w="0" w:type="auto"/>
            <w:shd w:val="clear" w:color="auto" w:fill="F7FEFF"/>
            <w:vAlign w:val="center"/>
            <w:hideMark/>
          </w:tcPr>
          <w:p w:rsidR="00756514" w:rsidRPr="00D31BA8" w:rsidRDefault="00756514" w:rsidP="00D31BA8">
            <w:pPr>
              <w:widowControl/>
              <w:tabs>
                <w:tab w:val="left" w:pos="1064"/>
              </w:tabs>
              <w:spacing w:line="375" w:lineRule="atLeast"/>
              <w:jc w:val="left"/>
              <w:rPr>
                <w:rFonts w:ascii="宋体" w:eastAsia="宋体" w:hAnsi="宋体" w:cs="宋体" w:hint="eastAsia"/>
                <w:b/>
                <w:bCs/>
                <w:color w:val="CC3300"/>
                <w:kern w:val="0"/>
                <w:szCs w:val="21"/>
              </w:rPr>
            </w:pPr>
            <w:r w:rsidRPr="00D31BA8">
              <w:rPr>
                <w:rFonts w:ascii="宋体" w:eastAsia="宋体" w:hAnsi="宋体" w:cs="宋体" w:hint="eastAsia"/>
                <w:color w:val="50497C"/>
                <w:kern w:val="0"/>
                <w:szCs w:val="21"/>
              </w:rPr>
              <w:t>信息名称：</w:t>
            </w:r>
            <w:r w:rsidRPr="00D31BA8">
              <w:rPr>
                <w:rFonts w:ascii="宋体" w:eastAsia="宋体" w:hAnsi="宋体" w:cs="宋体"/>
                <w:color w:val="50497C"/>
                <w:kern w:val="0"/>
                <w:szCs w:val="21"/>
              </w:rPr>
              <w:tab/>
            </w:r>
            <w:r w:rsidRPr="00D31BA8">
              <w:rPr>
                <w:rFonts w:ascii="宋体" w:eastAsia="宋体" w:hAnsi="宋体" w:cs="宋体" w:hint="eastAsia"/>
                <w:b/>
                <w:bCs/>
                <w:color w:val="CC3300"/>
                <w:kern w:val="0"/>
                <w:szCs w:val="21"/>
              </w:rPr>
              <w:t xml:space="preserve">教育部关于全面提高高等教育质量的若干意见 </w:t>
            </w:r>
          </w:p>
          <w:p w:rsidR="00756514" w:rsidRPr="00D31BA8" w:rsidRDefault="00756514" w:rsidP="00D31BA8">
            <w:pPr>
              <w:widowControl/>
              <w:tabs>
                <w:tab w:val="left" w:pos="1064"/>
                <w:tab w:val="left" w:pos="2831"/>
                <w:tab w:val="left" w:pos="3982"/>
                <w:tab w:val="left" w:pos="5115"/>
                <w:tab w:val="left" w:pos="6391"/>
              </w:tabs>
              <w:spacing w:line="375" w:lineRule="atLeast"/>
              <w:jc w:val="left"/>
              <w:rPr>
                <w:rFonts w:ascii="宋体" w:eastAsia="宋体" w:hAnsi="宋体" w:cs="宋体" w:hint="eastAsia"/>
                <w:color w:val="9C9DA1"/>
                <w:kern w:val="0"/>
                <w:szCs w:val="21"/>
              </w:rPr>
            </w:pPr>
            <w:r w:rsidRPr="00D31BA8">
              <w:rPr>
                <w:rFonts w:ascii="宋体" w:eastAsia="宋体" w:hAnsi="宋体" w:cs="宋体" w:hint="eastAsia"/>
                <w:color w:val="50497C"/>
                <w:kern w:val="0"/>
                <w:szCs w:val="21"/>
              </w:rPr>
              <w:t>信息索引：</w:t>
            </w:r>
            <w:r w:rsidRPr="00D31BA8">
              <w:rPr>
                <w:rFonts w:ascii="宋体" w:eastAsia="宋体" w:hAnsi="宋体" w:cs="宋体" w:hint="eastAsia"/>
                <w:color w:val="50497C"/>
                <w:kern w:val="0"/>
                <w:szCs w:val="21"/>
              </w:rPr>
              <w:tab/>
            </w:r>
            <w:r w:rsidRPr="00D31BA8">
              <w:rPr>
                <w:rFonts w:ascii="宋体" w:eastAsia="宋体" w:hAnsi="宋体" w:cs="宋体" w:hint="eastAsia"/>
                <w:color w:val="9C9DA1"/>
                <w:kern w:val="0"/>
                <w:szCs w:val="21"/>
              </w:rPr>
              <w:t xml:space="preserve">360A08-07-2012-0009 </w:t>
            </w:r>
            <w:r w:rsidRPr="00D31BA8">
              <w:rPr>
                <w:rFonts w:ascii="宋体" w:eastAsia="宋体" w:hAnsi="宋体" w:cs="宋体" w:hint="eastAsia"/>
                <w:color w:val="50497C"/>
                <w:kern w:val="0"/>
                <w:szCs w:val="21"/>
              </w:rPr>
              <w:t>生成日期：</w:t>
            </w:r>
            <w:r w:rsidRPr="00D31BA8">
              <w:rPr>
                <w:rFonts w:ascii="宋体" w:eastAsia="宋体" w:hAnsi="宋体" w:cs="宋体" w:hint="eastAsia"/>
                <w:color w:val="9C9DA1"/>
                <w:kern w:val="0"/>
                <w:szCs w:val="21"/>
              </w:rPr>
              <w:t>2012-03-16</w:t>
            </w:r>
            <w:r>
              <w:rPr>
                <w:rFonts w:ascii="宋体" w:eastAsia="宋体" w:hAnsi="宋体" w:cs="宋体"/>
                <w:color w:val="9C9DA1"/>
                <w:kern w:val="0"/>
                <w:szCs w:val="21"/>
              </w:rPr>
              <w:t xml:space="preserve"> </w:t>
            </w:r>
            <w:r w:rsidRPr="00D31BA8">
              <w:rPr>
                <w:rFonts w:ascii="宋体" w:eastAsia="宋体" w:hAnsi="宋体" w:cs="宋体" w:hint="eastAsia"/>
                <w:color w:val="50497C"/>
                <w:kern w:val="0"/>
                <w:szCs w:val="21"/>
              </w:rPr>
              <w:t>发文机构：</w:t>
            </w:r>
            <w:r w:rsidRPr="00D31BA8">
              <w:rPr>
                <w:rFonts w:ascii="宋体" w:eastAsia="宋体" w:hAnsi="宋体" w:cs="宋体" w:hint="eastAsia"/>
                <w:color w:val="50497C"/>
                <w:kern w:val="0"/>
                <w:szCs w:val="21"/>
              </w:rPr>
              <w:tab/>
            </w:r>
            <w:r w:rsidRPr="00D31BA8">
              <w:rPr>
                <w:rFonts w:ascii="宋体" w:eastAsia="宋体" w:hAnsi="宋体" w:cs="宋体" w:hint="eastAsia"/>
                <w:color w:val="9C9DA1"/>
                <w:kern w:val="0"/>
                <w:szCs w:val="21"/>
              </w:rPr>
              <w:t xml:space="preserve">中华人民共和国教育部 </w:t>
            </w:r>
          </w:p>
          <w:p w:rsidR="00756514" w:rsidRPr="00D31BA8" w:rsidRDefault="00756514" w:rsidP="00D31BA8">
            <w:pPr>
              <w:widowControl/>
              <w:tabs>
                <w:tab w:val="left" w:pos="1064"/>
                <w:tab w:val="left" w:pos="2831"/>
                <w:tab w:val="left" w:pos="3982"/>
                <w:tab w:val="left" w:pos="5115"/>
                <w:tab w:val="left" w:pos="6391"/>
              </w:tabs>
              <w:spacing w:line="375" w:lineRule="atLeast"/>
              <w:jc w:val="left"/>
              <w:rPr>
                <w:rFonts w:ascii="宋体" w:eastAsia="宋体" w:hAnsi="宋体" w:cs="宋体" w:hint="eastAsia"/>
                <w:color w:val="514A7D"/>
                <w:kern w:val="0"/>
                <w:sz w:val="18"/>
                <w:szCs w:val="18"/>
              </w:rPr>
            </w:pPr>
            <w:r w:rsidRPr="00D31BA8">
              <w:rPr>
                <w:rFonts w:ascii="宋体" w:eastAsia="宋体" w:hAnsi="宋体" w:cs="宋体" w:hint="eastAsia"/>
                <w:color w:val="50497C"/>
                <w:kern w:val="0"/>
                <w:szCs w:val="21"/>
              </w:rPr>
              <w:t>发文字号：</w:t>
            </w:r>
            <w:r w:rsidRPr="00D31BA8">
              <w:rPr>
                <w:rFonts w:ascii="宋体" w:eastAsia="宋体" w:hAnsi="宋体" w:cs="宋体" w:hint="eastAsia"/>
                <w:color w:val="50497C"/>
                <w:kern w:val="0"/>
                <w:szCs w:val="21"/>
              </w:rPr>
              <w:tab/>
            </w:r>
            <w:proofErr w:type="gramStart"/>
            <w:r w:rsidRPr="00D31BA8">
              <w:rPr>
                <w:rFonts w:ascii="宋体" w:eastAsia="宋体" w:hAnsi="宋体" w:cs="宋体" w:hint="eastAsia"/>
                <w:color w:val="9C9DA1"/>
                <w:kern w:val="0"/>
                <w:szCs w:val="21"/>
              </w:rPr>
              <w:t>教高</w:t>
            </w:r>
            <w:proofErr w:type="gramEnd"/>
            <w:r w:rsidRPr="00D31BA8">
              <w:rPr>
                <w:rFonts w:ascii="宋体" w:eastAsia="宋体" w:hAnsi="宋体" w:cs="宋体" w:hint="eastAsia"/>
                <w:color w:val="9C9DA1"/>
                <w:kern w:val="0"/>
                <w:szCs w:val="21"/>
              </w:rPr>
              <w:t xml:space="preserve">[2012]4号 </w:t>
            </w:r>
            <w:r w:rsidRPr="00D31BA8">
              <w:rPr>
                <w:rFonts w:ascii="宋体" w:eastAsia="宋体" w:hAnsi="宋体" w:cs="宋体" w:hint="eastAsia"/>
                <w:color w:val="9C9DA1"/>
                <w:kern w:val="0"/>
                <w:szCs w:val="21"/>
              </w:rPr>
              <w:tab/>
            </w:r>
            <w:r w:rsidRPr="00D31BA8">
              <w:rPr>
                <w:rFonts w:ascii="宋体" w:eastAsia="宋体" w:hAnsi="宋体" w:cs="宋体" w:hint="eastAsia"/>
                <w:color w:val="50497C"/>
                <w:kern w:val="0"/>
                <w:szCs w:val="21"/>
              </w:rPr>
              <w:t>信息类别：</w:t>
            </w:r>
            <w:r w:rsidRPr="00D31BA8">
              <w:rPr>
                <w:rFonts w:ascii="宋体" w:eastAsia="宋体" w:hAnsi="宋体" w:cs="宋体" w:hint="eastAsia"/>
                <w:color w:val="50497C"/>
                <w:kern w:val="0"/>
                <w:szCs w:val="21"/>
              </w:rPr>
              <w:tab/>
            </w:r>
            <w:r w:rsidRPr="00D31BA8">
              <w:rPr>
                <w:rFonts w:ascii="宋体" w:eastAsia="宋体" w:hAnsi="宋体" w:cs="宋体" w:hint="eastAsia"/>
                <w:color w:val="9C9DA1"/>
                <w:kern w:val="0"/>
                <w:szCs w:val="21"/>
              </w:rPr>
              <w:t>高等教育</w:t>
            </w:r>
            <w:r w:rsidRPr="00D31BA8">
              <w:rPr>
                <w:rFonts w:ascii="宋体" w:eastAsia="宋体" w:hAnsi="宋体" w:cs="宋体" w:hint="eastAsia"/>
                <w:color w:val="9C9DA1"/>
                <w:kern w:val="0"/>
                <w:szCs w:val="21"/>
              </w:rPr>
              <w:tab/>
            </w:r>
            <w:r w:rsidRPr="00D31BA8">
              <w:rPr>
                <w:rFonts w:ascii="宋体" w:eastAsia="宋体" w:hAnsi="宋体" w:cs="宋体" w:hint="eastAsia"/>
                <w:color w:val="514A7D"/>
                <w:kern w:val="0"/>
                <w:sz w:val="18"/>
                <w:szCs w:val="18"/>
              </w:rPr>
              <w:t> </w:t>
            </w:r>
            <w:r w:rsidRPr="00D31BA8">
              <w:rPr>
                <w:rFonts w:ascii="宋体" w:eastAsia="宋体" w:hAnsi="宋体" w:cs="宋体" w:hint="eastAsia"/>
                <w:color w:val="514A7D"/>
                <w:kern w:val="0"/>
                <w:sz w:val="18"/>
                <w:szCs w:val="18"/>
              </w:rPr>
              <w:tab/>
              <w:t> </w:t>
            </w:r>
          </w:p>
          <w:p w:rsidR="00756514" w:rsidRPr="00D31BA8" w:rsidRDefault="00756514" w:rsidP="00D31BA8">
            <w:pPr>
              <w:widowControl/>
              <w:tabs>
                <w:tab w:val="left" w:pos="1064"/>
              </w:tabs>
              <w:spacing w:line="375" w:lineRule="atLeast"/>
              <w:jc w:val="left"/>
              <w:rPr>
                <w:rFonts w:ascii="宋体" w:eastAsia="宋体" w:hAnsi="宋体" w:cs="宋体" w:hint="eastAsia"/>
                <w:color w:val="9C9DA1"/>
                <w:kern w:val="0"/>
                <w:szCs w:val="21"/>
              </w:rPr>
            </w:pPr>
            <w:r w:rsidRPr="00D31BA8">
              <w:rPr>
                <w:rFonts w:ascii="宋体" w:eastAsia="宋体" w:hAnsi="宋体" w:cs="宋体" w:hint="eastAsia"/>
                <w:color w:val="50497C"/>
                <w:kern w:val="0"/>
                <w:szCs w:val="21"/>
              </w:rPr>
              <w:t>内容概述：</w:t>
            </w:r>
            <w:r w:rsidRPr="00D31BA8">
              <w:rPr>
                <w:rFonts w:ascii="宋体" w:eastAsia="宋体" w:hAnsi="宋体" w:cs="宋体" w:hint="eastAsia"/>
                <w:color w:val="50497C"/>
                <w:kern w:val="0"/>
                <w:szCs w:val="21"/>
              </w:rPr>
              <w:tab/>
            </w:r>
            <w:r w:rsidRPr="00D31BA8">
              <w:rPr>
                <w:rFonts w:ascii="宋体" w:eastAsia="宋体" w:hAnsi="宋体" w:cs="宋体" w:hint="eastAsia"/>
                <w:color w:val="9C9DA1"/>
                <w:kern w:val="0"/>
                <w:szCs w:val="21"/>
              </w:rPr>
              <w:t xml:space="preserve">教育部为深入贯彻落实胡锦涛总书记在庆祝清华大学建校100周年大会上的重要讲话精神和《国家中长期教育改革和发展规划纲要（2010-2020年）》，大力提升人才培养水平、增强科学研究能力、服务经济社会发展、推进文化传承创新，全面提高高等教育质量，现提出意见。 </w:t>
            </w:r>
          </w:p>
          <w:p w:rsidR="00756514" w:rsidRPr="00D31BA8" w:rsidRDefault="00756514" w:rsidP="00D31BA8">
            <w:pPr>
              <w:widowControl/>
              <w:jc w:val="left"/>
              <w:rPr>
                <w:rFonts w:ascii="宋体" w:eastAsia="宋体" w:hAnsi="宋体" w:cs="宋体" w:hint="eastAsia"/>
                <w:kern w:val="0"/>
                <w:sz w:val="18"/>
                <w:szCs w:val="18"/>
              </w:rPr>
            </w:pPr>
          </w:p>
          <w:p w:rsidR="00D31BA8" w:rsidRPr="00D31BA8" w:rsidRDefault="00D31BA8" w:rsidP="00D31BA8">
            <w:pPr>
              <w:widowControl/>
              <w:jc w:val="left"/>
              <w:rPr>
                <w:rFonts w:ascii="宋体" w:eastAsia="宋体" w:hAnsi="宋体" w:cs="宋体"/>
                <w:vanish/>
                <w:kern w:val="0"/>
                <w:sz w:val="18"/>
                <w:szCs w:val="18"/>
              </w:rPr>
            </w:pPr>
          </w:p>
          <w:tbl>
            <w:tblPr>
              <w:tblW w:w="4900" w:type="pct"/>
              <w:jc w:val="center"/>
              <w:tblCellSpacing w:w="0" w:type="dxa"/>
              <w:tblCellMar>
                <w:left w:w="0" w:type="dxa"/>
                <w:right w:w="0" w:type="dxa"/>
              </w:tblCellMar>
              <w:tblLook w:val="04A0" w:firstRow="1" w:lastRow="0" w:firstColumn="1" w:lastColumn="0" w:noHBand="0" w:noVBand="1"/>
            </w:tblPr>
            <w:tblGrid>
              <w:gridCol w:w="8889"/>
            </w:tblGrid>
            <w:tr w:rsidR="00D31BA8" w:rsidRPr="00D31BA8">
              <w:trPr>
                <w:trHeight w:val="75"/>
                <w:tblCellSpacing w:w="0" w:type="dxa"/>
                <w:jc w:val="center"/>
              </w:trPr>
              <w:tc>
                <w:tcPr>
                  <w:tcW w:w="0" w:type="auto"/>
                  <w:vAlign w:val="center"/>
                  <w:hideMark/>
                </w:tcPr>
                <w:p w:rsidR="00D31BA8" w:rsidRPr="00D31BA8" w:rsidRDefault="00D31BA8" w:rsidP="00D31BA8">
                  <w:pPr>
                    <w:widowControl/>
                    <w:jc w:val="left"/>
                    <w:rPr>
                      <w:rFonts w:ascii="宋体" w:eastAsia="宋体" w:hAnsi="宋体" w:cs="宋体"/>
                      <w:kern w:val="0"/>
                      <w:sz w:val="18"/>
                      <w:szCs w:val="18"/>
                    </w:rPr>
                  </w:pPr>
                </w:p>
              </w:tc>
            </w:tr>
          </w:tbl>
          <w:p w:rsidR="00D31BA8" w:rsidRPr="00D31BA8" w:rsidRDefault="00D31BA8" w:rsidP="00D31BA8">
            <w:pPr>
              <w:widowControl/>
              <w:jc w:val="left"/>
              <w:rPr>
                <w:rFonts w:ascii="宋体" w:eastAsia="宋体" w:hAnsi="宋体" w:cs="宋体"/>
                <w:kern w:val="0"/>
                <w:sz w:val="18"/>
                <w:szCs w:val="18"/>
              </w:rPr>
            </w:pPr>
          </w:p>
        </w:tc>
      </w:tr>
    </w:tbl>
    <w:p w:rsidR="00D31BA8" w:rsidRPr="00D31BA8" w:rsidRDefault="00D31BA8" w:rsidP="00D31BA8">
      <w:pPr>
        <w:widowControl/>
        <w:jc w:val="left"/>
        <w:rPr>
          <w:rFonts w:ascii="宋体" w:eastAsia="宋体" w:hAnsi="宋体" w:cs="宋体"/>
          <w:vanish/>
          <w:kern w:val="0"/>
          <w:sz w:val="18"/>
          <w:szCs w:val="18"/>
        </w:rPr>
      </w:pPr>
    </w:p>
    <w:p w:rsidR="00756514" w:rsidRPr="00D31BA8" w:rsidRDefault="00756514" w:rsidP="00D31BA8">
      <w:pPr>
        <w:widowControl/>
        <w:jc w:val="left"/>
        <w:rPr>
          <w:rFonts w:ascii="宋体" w:eastAsia="宋体" w:hAnsi="宋体" w:cs="宋体"/>
          <w:kern w:val="0"/>
          <w:sz w:val="18"/>
          <w:szCs w:val="18"/>
        </w:rPr>
      </w:pPr>
      <w:r w:rsidRPr="00D31BA8">
        <w:rPr>
          <w:rFonts w:ascii="宋体" w:eastAsia="宋体" w:hAnsi="宋体" w:cs="宋体" w:hint="eastAsia"/>
          <w:kern w:val="0"/>
          <w:sz w:val="18"/>
          <w:szCs w:val="18"/>
        </w:rPr>
        <w:t> </w:t>
      </w:r>
      <w:bookmarkStart w:id="0" w:name="_GoBack"/>
      <w:bookmarkEnd w:id="0"/>
    </w:p>
    <w:p w:rsidR="00756514" w:rsidRPr="00D31BA8" w:rsidRDefault="00756514" w:rsidP="00756514">
      <w:pPr>
        <w:widowControl/>
        <w:jc w:val="center"/>
        <w:rPr>
          <w:rFonts w:ascii="宋体" w:eastAsia="宋体" w:hAnsi="宋体" w:cs="宋体"/>
          <w:vanish/>
          <w:kern w:val="0"/>
          <w:sz w:val="18"/>
          <w:szCs w:val="18"/>
        </w:rPr>
      </w:pPr>
    </w:p>
    <w:p w:rsidR="00756514" w:rsidRPr="00D31BA8" w:rsidRDefault="00756514" w:rsidP="00756514">
      <w:pPr>
        <w:widowControl/>
        <w:jc w:val="center"/>
        <w:rPr>
          <w:rFonts w:ascii="宋体" w:eastAsia="宋体" w:hAnsi="宋体" w:cs="宋体"/>
          <w:vanish/>
          <w:kern w:val="0"/>
          <w:sz w:val="18"/>
          <w:szCs w:val="18"/>
        </w:rPr>
      </w:pPr>
    </w:p>
    <w:p w:rsidR="00756514" w:rsidRPr="00D31BA8" w:rsidRDefault="00756514" w:rsidP="00756514">
      <w:pPr>
        <w:widowControl/>
        <w:jc w:val="center"/>
        <w:rPr>
          <w:rFonts w:ascii="宋体" w:eastAsia="宋体" w:hAnsi="宋体" w:cs="宋体" w:hint="eastAsia"/>
          <w:kern w:val="0"/>
          <w:sz w:val="18"/>
          <w:szCs w:val="18"/>
        </w:rPr>
      </w:pPr>
      <w:proofErr w:type="gramStart"/>
      <w:r w:rsidRPr="00D31BA8">
        <w:rPr>
          <w:rFonts w:ascii="宋体" w:eastAsia="宋体" w:hAnsi="宋体" w:cs="宋体" w:hint="eastAsia"/>
          <w:b/>
          <w:bCs/>
          <w:kern w:val="0"/>
          <w:sz w:val="22"/>
        </w:rPr>
        <w:t>教高</w:t>
      </w:r>
      <w:proofErr w:type="gramEnd"/>
      <w:r w:rsidRPr="00D31BA8">
        <w:rPr>
          <w:rFonts w:ascii="宋体" w:eastAsia="宋体" w:hAnsi="宋体" w:cs="宋体" w:hint="eastAsia"/>
          <w:b/>
          <w:bCs/>
          <w:kern w:val="0"/>
          <w:sz w:val="22"/>
        </w:rPr>
        <w:t>[2012]4号</w:t>
      </w:r>
    </w:p>
    <w:p w:rsidR="00756514" w:rsidRPr="00D31BA8" w:rsidRDefault="00756514" w:rsidP="00756514">
      <w:pPr>
        <w:widowControl/>
        <w:jc w:val="center"/>
        <w:rPr>
          <w:rFonts w:ascii="宋体" w:eastAsia="宋体" w:hAnsi="宋体" w:cs="宋体" w:hint="eastAsia"/>
          <w:kern w:val="0"/>
          <w:sz w:val="18"/>
          <w:szCs w:val="18"/>
        </w:rPr>
      </w:pPr>
    </w:p>
    <w:p w:rsidR="00756514" w:rsidRPr="00D31BA8" w:rsidRDefault="00756514" w:rsidP="00756514">
      <w:pPr>
        <w:widowControl/>
        <w:jc w:val="center"/>
        <w:rPr>
          <w:rFonts w:ascii="宋体" w:eastAsia="宋体" w:hAnsi="宋体" w:cs="宋体"/>
          <w:vanish/>
          <w:kern w:val="0"/>
          <w:sz w:val="18"/>
          <w:szCs w:val="18"/>
        </w:rPr>
      </w:pPr>
    </w:p>
    <w:p w:rsidR="00756514" w:rsidRPr="00D31BA8" w:rsidRDefault="00756514" w:rsidP="00756514">
      <w:pPr>
        <w:widowControl/>
        <w:jc w:val="center"/>
        <w:rPr>
          <w:rFonts w:ascii="宋体" w:eastAsia="宋体" w:hAnsi="宋体" w:cs="宋体"/>
          <w:kern w:val="0"/>
          <w:sz w:val="18"/>
          <w:szCs w:val="18"/>
        </w:rPr>
      </w:pPr>
    </w:p>
    <w:p w:rsidR="00756514" w:rsidRPr="00D31BA8" w:rsidRDefault="00756514" w:rsidP="00756514">
      <w:pPr>
        <w:widowControl/>
        <w:jc w:val="center"/>
        <w:rPr>
          <w:rFonts w:ascii="宋体" w:eastAsia="宋体" w:hAnsi="宋体" w:cs="宋体"/>
          <w:vanish/>
          <w:kern w:val="0"/>
          <w:sz w:val="18"/>
          <w:szCs w:val="18"/>
        </w:rPr>
      </w:pPr>
    </w:p>
    <w:p w:rsidR="00756514" w:rsidRPr="00D31BA8" w:rsidRDefault="00756514" w:rsidP="00756514">
      <w:pPr>
        <w:widowControl/>
        <w:jc w:val="center"/>
        <w:rPr>
          <w:rFonts w:ascii="宋体" w:eastAsia="宋体" w:hAnsi="宋体" w:cs="宋体"/>
          <w:kern w:val="0"/>
          <w:sz w:val="18"/>
          <w:szCs w:val="18"/>
        </w:rPr>
      </w:pPr>
      <w:r w:rsidRPr="00D31BA8">
        <w:rPr>
          <w:rFonts w:ascii="黑体" w:eastAsia="黑体" w:hAnsi="黑体" w:cs="宋体"/>
          <w:b/>
          <w:bCs/>
          <w:kern w:val="0"/>
          <w:sz w:val="28"/>
          <w:szCs w:val="28"/>
        </w:rPr>
        <w:t>教育部关于全面提高高等教育质量的若干意见</w:t>
      </w:r>
    </w:p>
    <w:p w:rsidR="00756514" w:rsidRPr="00D31BA8" w:rsidRDefault="00756514" w:rsidP="00D31BA8">
      <w:pPr>
        <w:widowControl/>
        <w:jc w:val="left"/>
        <w:rPr>
          <w:rFonts w:ascii="宋体" w:eastAsia="宋体" w:hAnsi="宋体" w:cs="宋体"/>
          <w:vanish/>
          <w:kern w:val="0"/>
          <w:sz w:val="18"/>
          <w:szCs w:val="18"/>
        </w:rPr>
      </w:pPr>
    </w:p>
    <w:p w:rsidR="00756514" w:rsidRPr="00D31BA8" w:rsidRDefault="00756514" w:rsidP="00D31BA8">
      <w:pPr>
        <w:widowControl/>
        <w:jc w:val="left"/>
        <w:rPr>
          <w:rFonts w:ascii="宋体" w:eastAsia="宋体" w:hAnsi="宋体" w:cs="宋体" w:hint="eastAsia"/>
          <w:kern w:val="0"/>
          <w:sz w:val="18"/>
          <w:szCs w:val="18"/>
        </w:rPr>
      </w:pPr>
      <w:r w:rsidRPr="00D31BA8">
        <w:rPr>
          <w:rFonts w:ascii="宋体" w:eastAsia="宋体" w:hAnsi="宋体" w:cs="宋体" w:hint="eastAsia"/>
          <w:kern w:val="0"/>
          <w:sz w:val="18"/>
          <w:szCs w:val="18"/>
        </w:rPr>
        <w:t> </w:t>
      </w:r>
    </w:p>
    <w:p w:rsidR="00756514" w:rsidRPr="00D31BA8" w:rsidRDefault="00756514" w:rsidP="00D31BA8">
      <w:pPr>
        <w:widowControl/>
        <w:jc w:val="left"/>
        <w:rPr>
          <w:rFonts w:ascii="宋体" w:eastAsia="宋体" w:hAnsi="宋体" w:cs="宋体"/>
          <w:vanish/>
          <w:kern w:val="0"/>
          <w:sz w:val="18"/>
          <w:szCs w:val="18"/>
        </w:rPr>
      </w:pP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各省、自治区、直辖市教育厅（教委），新疆生产建设兵团教育局，有关部门（单位）教育司（局），部属各高等学校：</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为深入贯彻落实胡锦涛总书记在庆祝清华大学建校100周年大会上的重要讲话精神和《国家中长期教育改革和发展规划纲要（2010-2020年）》，大力提升人才培养水平、增强科学研究能力、服务经济社会发展、推进文化传承创新，全面提高高等教育质量，现提出如下意见。</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一）坚持内涵式发展。牢固确立人才培养的中心地位，树立科学的高等教育发展观，坚持稳定规模、优化结构、强化特色、注重创新，走以质量提升为核心的内涵式发展道路。稳定规模，保持公办普通高校本科招生规模相对稳定，高等教育规模增量主要用于发展高等职业教育、继续教育、专业学位硕士研究生教育以及扩大民办教育和合作办学。优化结构，调整学科专业、类型、层次和区域布局结构，适应国家和区域经济社会发展需要，满足人民群众接受高等教育的多样化需求。强化特色，促进高校合理定位、各展所长，在不同层次不同领域办出特色、争创一流。注重创新，以体制机制改革为重点，鼓励地方和高校大胆探索试验，加快重要领域和关键环节改革步伐。按照内涵式发展要求，完善实施高校“十二五”改革和发展规划。</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促进高校办出特色。探索建立高校分类体系，制定分类管理办法，克服同质化倾向。根据办学历史、区位优势和资源条件等，确定特色鲜明的办学定位、发展规划、人才培养规格和学科专业设置。加快建设若干所世界一流大学和一批高水平大学，建设一批世界一流学科，继续实施</w:t>
      </w:r>
      <w:r w:rsidRPr="00D31BA8">
        <w:rPr>
          <w:rFonts w:ascii="宋体" w:eastAsia="宋体" w:hAnsi="宋体" w:cs="宋体" w:hint="eastAsia"/>
          <w:kern w:val="0"/>
          <w:szCs w:val="21"/>
        </w:rPr>
        <w:lastRenderedPageBreak/>
        <w:t>“985工程”、“211工程”和优势学科创新平台、特色重点学科项目。加强师范、艺术、体育以及农林、水利、地矿、石油等行业高校建设，突出学科专业特色和行业特色。加强地方本科高校建设，以扶需、扶特为原则，发挥政策引导和资源配置作用，支持有特色高水平地方高校发展。加强高职学校建设，重点建设好高水平示范（骨干）高职学校。加强民办高校内涵建设，办好一批高水平民办高校。实施中西部高等教育振兴计划，推进东部高校对口支援西部高校计划。完善中央部属高校和重点建设高校战略布局。</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三）完善人才培养质量标准体系。全面实施素质教育，把促进人的全面发展和适应社会需要作为衡量人才培养水平的根本标准。建立健全符合国情的人才培养质量标准体系，落实文化知识学习和思想品德修养、创新思维和社会实践、全面发展和个性发展紧密结合的人才培养要求。会同相关部门、科研院所、行业企业，制订实施本科和高职高</w:t>
      </w:r>
      <w:proofErr w:type="gramStart"/>
      <w:r w:rsidRPr="00D31BA8">
        <w:rPr>
          <w:rFonts w:ascii="宋体" w:eastAsia="宋体" w:hAnsi="宋体" w:cs="宋体" w:hint="eastAsia"/>
          <w:kern w:val="0"/>
          <w:szCs w:val="21"/>
        </w:rPr>
        <w:t>专专业</w:t>
      </w:r>
      <w:proofErr w:type="gramEnd"/>
      <w:r w:rsidRPr="00D31BA8">
        <w:rPr>
          <w:rFonts w:ascii="宋体" w:eastAsia="宋体" w:hAnsi="宋体" w:cs="宋体" w:hint="eastAsia"/>
          <w:kern w:val="0"/>
          <w:szCs w:val="21"/>
        </w:rPr>
        <w:t>类教学质量国家标准，制订一级学科博士、硕士学位和专业学位基本要求。鼓励行业部门依据国家标准制订相关专业人才培养评价标准。高校根据实际制订科学的人才培养方案。</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（四）优化学科专业和人才培养结构。修订学科专业目录</w:t>
      </w:r>
      <w:proofErr w:type="gramStart"/>
      <w:r w:rsidRPr="00D31BA8">
        <w:rPr>
          <w:rFonts w:ascii="宋体" w:eastAsia="宋体" w:hAnsi="宋体" w:cs="宋体" w:hint="eastAsia"/>
          <w:kern w:val="0"/>
          <w:szCs w:val="21"/>
        </w:rPr>
        <w:t>及设置</w:t>
      </w:r>
      <w:proofErr w:type="gramEnd"/>
      <w:r w:rsidRPr="00D31BA8">
        <w:rPr>
          <w:rFonts w:ascii="宋体" w:eastAsia="宋体" w:hAnsi="宋体" w:cs="宋体" w:hint="eastAsia"/>
          <w:kern w:val="0"/>
          <w:szCs w:val="21"/>
        </w:rPr>
        <w:t>管理办法，建立动态调整机制，优化学科专业结构。落实和扩大高校学科专业设置自主权，按照学科专业设置管理规定，除国家控制布点专业外，本科和高职高</w:t>
      </w:r>
      <w:proofErr w:type="gramStart"/>
      <w:r w:rsidRPr="00D31BA8">
        <w:rPr>
          <w:rFonts w:ascii="宋体" w:eastAsia="宋体" w:hAnsi="宋体" w:cs="宋体" w:hint="eastAsia"/>
          <w:kern w:val="0"/>
          <w:szCs w:val="21"/>
        </w:rPr>
        <w:t>专专业</w:t>
      </w:r>
      <w:proofErr w:type="gramEnd"/>
      <w:r w:rsidRPr="00D31BA8">
        <w:rPr>
          <w:rFonts w:ascii="宋体" w:eastAsia="宋体" w:hAnsi="宋体" w:cs="宋体" w:hint="eastAsia"/>
          <w:kern w:val="0"/>
          <w:szCs w:val="21"/>
        </w:rPr>
        <w:t>自主设置，研究生二级学科自主设置，在有条件的学位授予单位试行自行增列博士、硕士一级学科学位授权点。开展本科和高职高</w:t>
      </w:r>
      <w:proofErr w:type="gramStart"/>
      <w:r w:rsidRPr="00D31BA8">
        <w:rPr>
          <w:rFonts w:ascii="宋体" w:eastAsia="宋体" w:hAnsi="宋体" w:cs="宋体" w:hint="eastAsia"/>
          <w:kern w:val="0"/>
          <w:szCs w:val="21"/>
        </w:rPr>
        <w:t>专专业</w:t>
      </w:r>
      <w:proofErr w:type="gramEnd"/>
      <w:r w:rsidRPr="00D31BA8">
        <w:rPr>
          <w:rFonts w:ascii="宋体" w:eastAsia="宋体" w:hAnsi="宋体" w:cs="宋体" w:hint="eastAsia"/>
          <w:kern w:val="0"/>
          <w:szCs w:val="21"/>
        </w:rPr>
        <w:t>综合改革试点，支持优势特色专业、战略性新兴产业相关专业和农林、水利、地矿、石油等行业相关专业以及师范类专业建设。建立高校毕业生就业和重点产业人才供需年度报告制度，健全专业预警、退出机制。连续两年就业率较低的专业，除个别特殊专业外，应调减招生计划直至停招。加大应用型、复合型、技能型人才培养力度。大力发展专业学位研究生教育，逐步扩大专业学位硕士研究生招生规模，促进专业学位和学术学位协调发展。</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五）创新人才培养模式。实施基础学科拔尖学生培养试验计划，建设一批国家青年英才培养基地，探索拔尖创新人才培养模式。实施卓越工程师、卓越农林人才、卓越法律人才等教育培养计划，以提高实践能力为重点，探索与有关部门、科研院所、行业企业联合培养人才模式。推进医学教育综合改革，实施卓越医生教育培养计划，探索适应国家医疗体制改革需要的临床医学人才培养模式。实施卓越教师教育培养计划，探索中小学特别是农村中小学骨干教师培养模式。提升高职学校服务产业发展能力，探索高端技能型人才系统培养模式。</w:t>
      </w:r>
      <w:proofErr w:type="gramStart"/>
      <w:r w:rsidRPr="00D31BA8">
        <w:rPr>
          <w:rFonts w:ascii="宋体" w:eastAsia="宋体" w:hAnsi="宋体" w:cs="宋体" w:hint="eastAsia"/>
          <w:kern w:val="0"/>
          <w:szCs w:val="21"/>
        </w:rPr>
        <w:t>鼓励因校制</w:t>
      </w:r>
      <w:proofErr w:type="gramEnd"/>
      <w:r w:rsidRPr="00D31BA8">
        <w:rPr>
          <w:rFonts w:ascii="宋体" w:eastAsia="宋体" w:hAnsi="宋体" w:cs="宋体" w:hint="eastAsia"/>
          <w:kern w:val="0"/>
          <w:szCs w:val="21"/>
        </w:rPr>
        <w:t>宜，探索科学基础、实践能力和人文素养融合发展的人才培养模式。改革教学管理，探索在教师指导下，学生自主选择专业、</w:t>
      </w:r>
      <w:r w:rsidRPr="00D31BA8">
        <w:rPr>
          <w:rFonts w:ascii="宋体" w:eastAsia="宋体" w:hAnsi="宋体" w:cs="宋体" w:hint="eastAsia"/>
          <w:kern w:val="0"/>
          <w:szCs w:val="21"/>
        </w:rPr>
        <w:lastRenderedPageBreak/>
        <w:t>自主选择课程等自主学习模式。创新教育教学方法，倡导启发式、探究式、讨论式、参与式教学。促进科研与教学互动，及时把科研成果转化为教学内容，重点实验室、研究基地等向学生开放。支持本科生参与科研活动，早进课题、早进实验室、早进团队。改革考试方法，注重学习过程考查和学生能力评价。</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（六）巩固本科教学基础地位。把本科教学作为高校</w:t>
      </w:r>
      <w:proofErr w:type="gramStart"/>
      <w:r w:rsidRPr="00D31BA8">
        <w:rPr>
          <w:rFonts w:ascii="宋体" w:eastAsia="宋体" w:hAnsi="宋体" w:cs="宋体" w:hint="eastAsia"/>
          <w:kern w:val="0"/>
          <w:szCs w:val="21"/>
        </w:rPr>
        <w:t>最</w:t>
      </w:r>
      <w:proofErr w:type="gramEnd"/>
      <w:r w:rsidRPr="00D31BA8">
        <w:rPr>
          <w:rFonts w:ascii="宋体" w:eastAsia="宋体" w:hAnsi="宋体" w:cs="宋体" w:hint="eastAsia"/>
          <w:kern w:val="0"/>
          <w:szCs w:val="21"/>
        </w:rPr>
        <w:t>基础、最根本的工作，领导精力、师资力量、资源配置、经费安排和工作评价都要体现以教学为中心。高校每年召开本科教学工作会议，着力解决人才培养和教育教学中的重点难点问题。高校制订具体办法，把教授为本科生上课作为基本制度，将承担本科教学任务作为教授聘用的基本条件，让最优秀教师为本科一年级学生上课。鼓励高校开展专业核心课程教授负责制试点。倡导知名教授开设新生研讨课，激发学生专业兴趣和学习动力。完善国家、地方和高校教学名师评选表彰制度，重点表彰在教学一线做出突出贡献的优秀教师。定期开展教授为本科生授课情况的专项检查。完善国家、地方、高校三级“本科教学工程”体系，发挥建设项目在推进教学改革、加强教学建设、提高教学质量上的引领、示范、辐射作用。</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七）改革研究生培养机制。完善以科学研究和实践创新为主导的导师负责制。综合考虑导师的师德、学术和实践创新水平，健全导师遴选、考核等制度，给予导师特别是博士生导师在录取、资助等方面更多自主权。专业学位突出职业能力培养，与职业资格紧密衔接，建立健全培养、考核、评价和管理体系。学术学位研究生导师应通过科研任务，提高研究生的理论素养和实践能力。推动高校与科研院所联合培养，鼓励跨学科合作指导。专业学位研究生实行双导师制，支持在行业企业建立研究生工作站。开展专业学位硕士研究生培养综合改革试点。健全研究生考核、申诉、转学等机制，完善在课程教学、中期考核、开题报告、预答辩、学位评定等各环节的研究生分流、淘汰制度。　　</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八）强化实践育人环节。制定加强高校实践育人工作的办法。结合专业特点和人才培养要求，分类制订实践教学标准。增加实践教学比重，确保各类专业实践教学必要的学分（学时）。配齐配强实验室人员，提升实验教学水平。组织编写一批优秀实验教材。加强实验室、实习实训基地、实践教学共享平台建设，重点建设一批国家级实验教学示范中心、国家大学生校外实践教育基地、高职实训基地。加强实践教学管理，提高实验、实习实训、实践和毕业设计（论文）质量。支持高职学校学生参加企业技改、工艺创新等活动。把军事训练作为必修课，列入教学计划，认真组织实施。广泛开展社会调查、生产劳动、志愿服务、公益活动、科技发明、勤工助学和挂职锻炼等</w:t>
      </w:r>
      <w:r w:rsidRPr="00D31BA8">
        <w:rPr>
          <w:rFonts w:ascii="宋体" w:eastAsia="宋体" w:hAnsi="宋体" w:cs="宋体" w:hint="eastAsia"/>
          <w:kern w:val="0"/>
          <w:szCs w:val="21"/>
        </w:rPr>
        <w:lastRenderedPageBreak/>
        <w:t xml:space="preserve">社会实践活动。新增生均拨款优先投入实践育人工作，新增教学经费优先用于实践教学。推动建立党政机关、城市社区、农村乡镇、企事业单位、社会服务机构等接收高校学生实践制度。　　</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九）加强创新创业教育和就业指导服务。把创新创业教育贯穿人才培养全过程。制订高校创新创业教育教学基本要求，开发创新创业类课程，纳入学分管理。大力开展创新创业师资培养培训，聘请企业家、专业技术人才和能工巧匠等担任兼职教师。支持学生开展创新创业训练，完善国家、地方、高校三级项目资助体系。依托高新技术产业开发区、工业园区和大学科技园等，重点建设一批高校学生科技创业实习基地。普遍建立地方和高校创新创业教育指导中心和孵化基地。加强就业指导服务，加快就业指导服务机构建设，完善职业发展和就业指导课程体系。建立健全高校毕业生就业信息服务平台，加强困难群体毕业生就业援助与帮扶。</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加强和改进思想政治教育。全面实施思想政治理论课课程方案，推动中国特色社会主义理论体系进教材、进课堂、进头脑。及时修订教材和教学大纲，充分反映马克思主义中国化最新成果。改进教学方法，把教材优势转化为教学优势，增强教学实效。制定思想政治理论课教师队伍建设规划，加大全员培训、骨干研修、攻读博士学位、国内外考察等工作力度。加强马克思主义理论学科建设，为思想政治理论课提供学科支撑。实施高校思想政治理论课建设标准，制定教学质量测评体系。加强形势与政策教育教学规范化、制度化建设。实施立德树人工程，提高大学生思想政治教育工作科学化水平。创新网络思想政治教育，建设一批主题教育网站、网络社区。推动高校普遍设立心理健康教育和咨询机构，开好心理健康教育课程。增强教师心理健康教育意识，关心学生心理健康。制定大学生思想政治教育工作测评体系。启动专项计划，建设一支高水平思想政治教育专家队伍，推进辅导员队伍专业化职业化。创新学生党支部设置方式，加强学生党员的教育、管理和服务，加强在学生中发展党员工作，加强组织员队伍建设。加强爱国、敬业、诚信、友善等道德规范教育，推动学雷锋活动机制化常态化。推进全员育人、全过程育人、全方位育人，引导学生自我教育、自我管理和自我服务。</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一）健全教育质量评估制度。出台高校本科教学评估新方案，加强分类评估、分类指导，坚持管办评分离的原则，建立以高校自我评估为基础，以教学基本状态数据常态监测、院校评估、专业认证及评估、国际评估为主要内容，政府、学校、专门机构和社会多元评价相结合的教学评估制度。加强高校自我评估，健全校内质量保障体系，完善本科教学基本状态数据库，建立本科教学质量年度报告发布制度。实行分类评估，对2000年以来未参加过评估的新建本科高校实行合格评估，对参加过评估并获得通过的普通本科高校实行审核评估。开展专业认证及评估，在工程、医学</w:t>
      </w:r>
      <w:r w:rsidRPr="00D31BA8">
        <w:rPr>
          <w:rFonts w:ascii="宋体" w:eastAsia="宋体" w:hAnsi="宋体" w:cs="宋体" w:hint="eastAsia"/>
          <w:kern w:val="0"/>
          <w:szCs w:val="21"/>
        </w:rPr>
        <w:lastRenderedPageBreak/>
        <w:t>等领域积极探索与国际实质等效的专业认证，鼓励有条件的高校开展学科专业的国际评估。对具有三届毕业生的高职学校开展人才培养工作评估。加强学位授权点建设和研究生培养质量监控，坚持自我评估和随机抽查相结合，每5年对博士、硕士学位授权点评估一次。加大博士学位论文抽检范围和力度，每年抽查比例不低于5％。建立健全教学合格评估与认证相结合的专业学位研究生教育质量保障制度。建设学位与研究生教育质量监控信息化平台。</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二）推进协同创新。启动实施高等学校创新能力提升计划。按照国家急需、世界一流要求，坚持“需求导向、全面开放、深度融合、创新引领”原则，瞄准世界科技前沿，面向国家战略和区域发展重大需求，以体制机制改革为重点，以创新能力提升为突破口，通过政策和项目引导，大力推进协同创新。探索建立校</w:t>
      </w:r>
      <w:proofErr w:type="gramStart"/>
      <w:r w:rsidRPr="00D31BA8">
        <w:rPr>
          <w:rFonts w:ascii="宋体" w:eastAsia="宋体" w:hAnsi="宋体" w:cs="宋体" w:hint="eastAsia"/>
          <w:kern w:val="0"/>
          <w:szCs w:val="21"/>
        </w:rPr>
        <w:t>校</w:t>
      </w:r>
      <w:proofErr w:type="gramEnd"/>
      <w:r w:rsidRPr="00D31BA8">
        <w:rPr>
          <w:rFonts w:ascii="宋体" w:eastAsia="宋体" w:hAnsi="宋体" w:cs="宋体" w:hint="eastAsia"/>
          <w:kern w:val="0"/>
          <w:szCs w:val="21"/>
        </w:rPr>
        <w:t>协同、校所协同、校企（行业）协同、校地（区域）协同、国际合作协同等开放、集成、高效的新模式，形成以任务为牵引的人事聘用管理制度、寓教于</w:t>
      </w:r>
      <w:proofErr w:type="gramStart"/>
      <w:r w:rsidRPr="00D31BA8">
        <w:rPr>
          <w:rFonts w:ascii="宋体" w:eastAsia="宋体" w:hAnsi="宋体" w:cs="宋体" w:hint="eastAsia"/>
          <w:kern w:val="0"/>
          <w:szCs w:val="21"/>
        </w:rPr>
        <w:t>研</w:t>
      </w:r>
      <w:proofErr w:type="gramEnd"/>
      <w:r w:rsidRPr="00D31BA8">
        <w:rPr>
          <w:rFonts w:ascii="宋体" w:eastAsia="宋体" w:hAnsi="宋体" w:cs="宋体" w:hint="eastAsia"/>
          <w:kern w:val="0"/>
          <w:szCs w:val="21"/>
        </w:rPr>
        <w:t>的人才培养模式、以质量与贡献为依据的考评机制、以学科交叉融合为导向的资源配置方式等协同创新机制，产出一批重大标志性成果，培养一批拔尖创新人才，在国家创新体系建设中发挥重要作用。</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三）提升高校科技创新能力。实施教育部、科技部联合行动计划。制定高校科技发展规划。依托重点学科，加快高校国家（重点）实验室、重大科技基础设施、国家工程技术（研究）中心以及教育部重点实验室、工程技术中心建设与发展。积极推进高校基础研究特区、国际联合研究中心、前沿技术联合实验室和产业技术研究院、都市发展研究院、新农村发展研究院等多种形式的改革试点，探索高校科学研究面向经济社会发展、与人才培养紧密结合、促进学科交叉融合的新模式。</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四）繁荣发展高校哲学社会科学。实施新一轮高校哲学社会科学繁荣计划。积极参与马克思主义理论研究和建设工程，推进哲学社会科学教学科研骨干研修，做好重点教材编写和使用工作，形成全面反映马克思主义中国化最新成果的哲学社会科学学科体系和教材体系。推进高校人文社会科学重点研究基地建设，新建一批以国家重大需求为导向和新兴交叉领域的重点研究基地，构建创新平台体系。加强基础研究，强化应用对策研究，促进交叉研究，构建服务国家需要与鼓励自由探索相结合的项目体系。瞄准国家发展战略和重大国际问题，推进</w:t>
      </w:r>
      <w:proofErr w:type="gramStart"/>
      <w:r w:rsidRPr="00D31BA8">
        <w:rPr>
          <w:rFonts w:ascii="宋体" w:eastAsia="宋体" w:hAnsi="宋体" w:cs="宋体" w:hint="eastAsia"/>
          <w:kern w:val="0"/>
          <w:szCs w:val="21"/>
        </w:rPr>
        <w:t>高校智库建设</w:t>
      </w:r>
      <w:proofErr w:type="gramEnd"/>
      <w:r w:rsidRPr="00D31BA8">
        <w:rPr>
          <w:rFonts w:ascii="宋体" w:eastAsia="宋体" w:hAnsi="宋体" w:cs="宋体" w:hint="eastAsia"/>
          <w:kern w:val="0"/>
          <w:szCs w:val="21"/>
        </w:rPr>
        <w:t>。重点建设一批社会科学专题数据库和优秀学术网站。实施高校哲学社会科学“走出去”计划，推进优秀成果和优秀人才走向世界，增强国际学术话语权和影响力。</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lastRenderedPageBreak/>
        <w:t xml:space="preserve">　　（十五）改革高校科研管理机制。激发创新活力、提高创新质量，建立科学规范、开放合作、运行高效的现代科研管理机制。推进高校科研组织形式改革，提升高校科研管理水平，加强科研管理队伍建设，增强高校组织、参与重大项目的能力。创新高校科研人员聘用制度，建立稳定与流动相结合的科研团队。加大基本科研业务费专项资金投入力度，形成有重点的稳定支持和竞争性项目相结合的资源配置方式。改进高校科学研究评价办法，形成重在质量、崇尚创新、社会参与的评价方式，建立以科研成果创造性、实用性以及科研对人才培养贡献为导向的评价激励机制。</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六）增强高校社会服务能力。主动服务经济发展方式转变和产业转型升级，加快高校科技成果转化和产业化，加强高校技术转移中心建设，形成比较完善的技术转移体系。支持高校参与技术创新体系建设，参与组建产学研战略联盟。开展产学研合作基地建设改革试点，引导高校和企业共建合作创新平台。瞄准经济社会发展重大理论和现实问题，加强与相关部门和地方政府合作，建设一批高水平咨询研究机构。支持高校与行业部门（协会）、龙头企业共建一批发展战略研究院，开展产业发展研究和咨询。组建一批国际问题研究中心，深入研究全球问题、热点区域问题、国别问题。　　　　　　</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（十七）加快发展继续教育。推动建立继续教育国家制度，搭建终身学习“立交桥”。</w:t>
      </w:r>
      <w:proofErr w:type="gramStart"/>
      <w:r w:rsidRPr="00D31BA8">
        <w:rPr>
          <w:rFonts w:ascii="宋体" w:eastAsia="宋体" w:hAnsi="宋体" w:cs="宋体" w:hint="eastAsia"/>
          <w:kern w:val="0"/>
          <w:szCs w:val="21"/>
        </w:rPr>
        <w:t>健全宽</w:t>
      </w:r>
      <w:proofErr w:type="gramEnd"/>
      <w:r w:rsidRPr="00D31BA8">
        <w:rPr>
          <w:rFonts w:ascii="宋体" w:eastAsia="宋体" w:hAnsi="宋体" w:cs="宋体" w:hint="eastAsia"/>
          <w:kern w:val="0"/>
          <w:szCs w:val="21"/>
        </w:rPr>
        <w:t>进严出的继续教育学习制度，改革和完善高等教育自学考试制度。推进高校继续教育综合改革，引导高校面向行业和区域举办高质量学历和非学历继续教育。实施本专科继续教育质量提升计划、高校继续教育资源开放计划。开展高校继续教育学习成果认证、积累和转换试点工作，鼓励社会成员通过多样化、个性化方式参与学习。深入开展和规范以同等学力申请学位工作。</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十八）推进文化传承创新。传承弘扬中华优秀传统文化，吸收借鉴世界优秀文明成果。加强对前人积累的文化成果研究，加大对文史哲等学科支持力度，实施基础研究中长期重大专项和学术文化工程，推出一批标志性成果，推动社会主义先进文化建设。发挥文化育人作用，把社会主义核心价值体系融入国民教育全过程，建设体现社会主义特点、时代特征和学校特色的大学文化。秉承办学传统，凝练办学理念，确定校训、校歌，形成优良校风、教风和学风，培育大学精神。组织实施高校校园文化创新项目。加强图书馆、校史馆、博物馆等场馆建设。面向社会开设高校名师大讲堂，开展高校理论名家社会行等活动。稳步推进孔子学院建设，促进国际汉语教育科学发展。推进海外中国学研究，鼓励高校合作建立海外中国学术研究中心。实施当代中国学术精品译丛、中华文化经典外文汇释</w:t>
      </w:r>
      <w:proofErr w:type="gramStart"/>
      <w:r w:rsidRPr="00D31BA8">
        <w:rPr>
          <w:rFonts w:ascii="宋体" w:eastAsia="宋体" w:hAnsi="宋体" w:cs="宋体" w:hint="eastAsia"/>
          <w:kern w:val="0"/>
          <w:szCs w:val="21"/>
        </w:rPr>
        <w:t>汇校项目</w:t>
      </w:r>
      <w:proofErr w:type="gramEnd"/>
      <w:r w:rsidRPr="00D31BA8">
        <w:rPr>
          <w:rFonts w:ascii="宋体" w:eastAsia="宋体" w:hAnsi="宋体" w:cs="宋体" w:hint="eastAsia"/>
          <w:kern w:val="0"/>
          <w:szCs w:val="21"/>
        </w:rPr>
        <w:t>,建设一批国际知名的外文学术期刊、国际性研究数据库和外文学术网站。</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lastRenderedPageBreak/>
        <w:t xml:space="preserve">　　（十九）改革考试招生制度。深入推进高考改革，成立国家教育考试指导委员会，研究制定考试改革方案，逐步形成分类考试、综合评价、多元录取的高校考试招生制度。改革考试内容和形式，推进分类考试，扩大高等职业教育分类入学考试试点和高等职业教育单独招生考试。改革考试评价方式，推进综合评价，探索形成高考与高校考核、高中学业水平考试和综合素质评价相结合的多样化评价体系。改革招生录取模式，推进多元录取，逐步扩大自主选拔录取改革试点范围，在坚持统一高考基础上，探索完善自主录取、推荐录取、定向录取、破格录取的方式，探索高等职业教育“知识+技能”录取模式。改革高考管理制度，推进“阳光工程”，加快标准化考点建设，规范高校招生秩序、高考加分项目和艺术体育等特殊类型招生。实施支援中西部地区招生协作计划，扩大东部高校在中西部地区招生规模。推进硕士生招生制度改革，突出对考生创新能力、专业潜能和综合素质的考查。推进博士生招生选拔评价方式、评价标准和内容体系等改革，把科研创新能力作为博士生选拔的首要因素，</w:t>
      </w:r>
      <w:proofErr w:type="gramStart"/>
      <w:r w:rsidRPr="00D31BA8">
        <w:rPr>
          <w:rFonts w:ascii="宋体" w:eastAsia="宋体" w:hAnsi="宋体" w:cs="宋体" w:hint="eastAsia"/>
          <w:kern w:val="0"/>
          <w:szCs w:val="21"/>
        </w:rPr>
        <w:t>完善直博生</w:t>
      </w:r>
      <w:proofErr w:type="gramEnd"/>
      <w:r w:rsidRPr="00D31BA8">
        <w:rPr>
          <w:rFonts w:ascii="宋体" w:eastAsia="宋体" w:hAnsi="宋体" w:cs="宋体" w:hint="eastAsia"/>
          <w:kern w:val="0"/>
          <w:szCs w:val="21"/>
        </w:rPr>
        <w:t>和硕博连读等长学制选拔培养制度。建立健全博士生分流淘汰与名额补偿机制。</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完善研究生资助体系。加大研究生教育财政投入，对纳入招生计划的学术学位和专业学位研究生，按综合定额标准给予财政拨款。建立健全研究生教育收费与奖学助学制度。依托导师科学研究或技术创新经费，增加研究生的研究资助额度。改革奖学金评定、发放和管理办法，实行重在激励的奖学金制度。设立国家奖学金，奖励学业成绩优秀、科研成果显著、社会公益活动表现突出的研究生。设立研究生助学金，将研究生纳入国家助学体系。</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一）完善中国特色现代大学制度。落实和扩大高校办学自主权，明确高校办学责任，完善治理结构。发布高校章程制定办法，加强章程建设。配合有关部门制定并落实坚持和完善普通高校党委领导下的校长负责制实施办法，健全党政议事规则和决策程序，依法落实党委职责和校长职权。坚持院系党政联席会议制度。高校领导要把主要精力投入到学校管理工作中，把工作重点集中到提高教育质量上。加强学术组织建设，优化校院两级学术组织构架，制定学术委员会规则，发挥学术委员会在学科建设、学术评价、学术发展中的重要作用。推进教授治学，发挥教授在教学、学术研究和学校管理中的作用。建立校领导联系学术骨干和教授制度。加强教职工代表大会、学生代表大会建设，发挥群众团体的作用。总结推广高校理事会或董事会组建模式和经验，建立健全社会支持和监督学校发展的长效机制。</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（二十二）推进试点学院改革。建立教育教学改革试验区，在部分高校设立试点学院，探索以创新人才培养体制为核心、以学院为基本实施单位的综合性改革。改革人才招录与选拔方式，实行</w:t>
      </w:r>
      <w:r w:rsidRPr="00D31BA8">
        <w:rPr>
          <w:rFonts w:ascii="宋体" w:eastAsia="宋体" w:hAnsi="宋体" w:cs="宋体" w:hint="eastAsia"/>
          <w:kern w:val="0"/>
          <w:szCs w:val="21"/>
        </w:rPr>
        <w:lastRenderedPageBreak/>
        <w:t>自主招生、多元录取，选拔培养具有创新潜质、学科特长和学业优秀的学生。改革人才培养模式，实行导师制、小班教学，激发学生学习主动性、积极性和创造性，培养拔尖创新人才。改革教师遴选、考核与评价制度，实行聘用制，探索年薪制，激励教师把主要精力用于教书育人。完善学院内部治理结构，实行教授治学、民主管理，扩大学院教学、科研、管理自主权。</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三）建设优质教育资源共享体系。建立高校与相关部门、科研院所、行业企业的共建平台，促进合作办学、合作育人、合作发展。鼓励地方建立大学联盟，发挥部属高校优质资源辐射作用，实现区域内高校资源共享、优势互补。加强高校间开放合作，推进教师互聘、学生互换、课程互选、学分互认。加强信息化资源共享平台建设，实施国家精品开放课程项目，建设一批精品视频公开课程和精品资源共享课程，向高校和社会开放。推进高等职业教育共享型专业教学资源库建设，与行业企业联合建设专业教学资源库。</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（二十四）加强省级政府统筹。加大省级统筹力度，根据国家标准，结合各地实际，合理确定各类高等教育办学定位、办学条件、教师编制、生</w:t>
      </w:r>
      <w:proofErr w:type="gramStart"/>
      <w:r w:rsidRPr="00D31BA8">
        <w:rPr>
          <w:rFonts w:ascii="宋体" w:eastAsia="宋体" w:hAnsi="宋体" w:cs="宋体" w:hint="eastAsia"/>
          <w:kern w:val="0"/>
          <w:szCs w:val="21"/>
        </w:rPr>
        <w:t>均财政</w:t>
      </w:r>
      <w:proofErr w:type="gramEnd"/>
      <w:r w:rsidRPr="00D31BA8">
        <w:rPr>
          <w:rFonts w:ascii="宋体" w:eastAsia="宋体" w:hAnsi="宋体" w:cs="宋体" w:hint="eastAsia"/>
          <w:kern w:val="0"/>
          <w:szCs w:val="21"/>
        </w:rPr>
        <w:t>拨款基本标准，合理设置和调整高校及学科专业布局。省级政府依法审批设立实施专科学历教育的高校，审批省级政府管理本科高校学士学位授予单位，审核硕士学位授予单位的硕士学位授予点和硕士专业学位授予点。核准地方高校的章程。完善实施地方“十二五”高等教育改革和发展规划。加大对地方高校的政策倾斜力度，根据区域经济社会发展需要，重点支持一批有特色高水平地方高校。推进国家示范性高等职业院校建设计划，重点建设一批特色高职学校。</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（二十五）提升国际交流与合作水平。支持中外高校间学生互换、学分互认、学位</w:t>
      </w:r>
      <w:proofErr w:type="gramStart"/>
      <w:r w:rsidRPr="00D31BA8">
        <w:rPr>
          <w:rFonts w:ascii="宋体" w:eastAsia="宋体" w:hAnsi="宋体" w:cs="宋体" w:hint="eastAsia"/>
          <w:kern w:val="0"/>
          <w:szCs w:val="21"/>
        </w:rPr>
        <w:t>互授联授</w:t>
      </w:r>
      <w:proofErr w:type="gramEnd"/>
      <w:r w:rsidRPr="00D31BA8">
        <w:rPr>
          <w:rFonts w:ascii="宋体" w:eastAsia="宋体" w:hAnsi="宋体" w:cs="宋体" w:hint="eastAsia"/>
          <w:kern w:val="0"/>
          <w:szCs w:val="21"/>
        </w:rPr>
        <w:t>。继续实施公派研究生出国留学项目。探索建立高校学生海外志愿服务机制。推动高校制定本科生和研究生中具有海外学习经历学生比例的阶段性目标。全面实施留学中国计划，不断提高来华留学教育质量，进一步扩大外国留学生规模，使我国成为亚洲最大的留学目的地国。以实施海外名师项目和学科创新引智计划等为牵引，引进一批国际公认的高水平专家学者和团队。在部分高校开展聘请外籍人员担任“学术院系主任”、“学术校长”试点。推动高校结合实际提出聘用外籍教师比例的增长性目标。做好高校领导和骨干教师海外培训工作。支持高职学校开展跨国技术培训。支持高校境外办学。支持高校办好若干所示范性中外合作办学机构，实施一批中外合作办学项目。</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（二十六）加强师德师风建设。制定高校教师职业道德规范。加强职业理想和职业道德教育，大力宣传高校师德楷模的先进事迹，引导教师潜心教书育人。健全师德考评制度，将师德表现作为</w:t>
      </w:r>
      <w:r w:rsidRPr="00D31BA8">
        <w:rPr>
          <w:rFonts w:ascii="宋体" w:eastAsia="宋体" w:hAnsi="宋体" w:cs="宋体" w:hint="eastAsia"/>
          <w:kern w:val="0"/>
          <w:szCs w:val="21"/>
        </w:rPr>
        <w:lastRenderedPageBreak/>
        <w:t>教师绩效考核、聘用和奖惩的首要内容，实行师德一票否决制。在教师培训特别是新教师岗前培训中，强化师德教育特别是学术道德、学术规范教育。制定加强高校学风建设的办法，完善高校科研学术规范，建立学术不端行为惩治查处机构。对学术不端行为者，一经查实，一律予以解聘，依法撤销教师资格。</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七）提高教师业务水平和教学能力。推动高校普遍建立教师教学发展中心，重点支持建设一批国家级教师教学发展示范中心，有计划地开展教师培训、教学咨询等，提升中青年教师专业水平和教学能力。完善教研室、教学团队、课程组等基层教学组织，坚持集体备课，深化教学重点难点问题研究。健全老中青教师传帮带机制，实行新开课、开新课试讲制度。完善助教制度，加强助教、助研、助管工作。探索科学评价教学能力的办法。鼓励高校聘用具有实践经验的专业技术人员担任专兼职教师，支持教师获得校外工作或研究经历。加大培养和引进领军人物、优秀团队的力度，积极参与“千人计划”，实施“长江学者奖励计划”和“创新团队发展计划”，加强高层次人才队伍建设。选择一批高校探索建立人才发展改革试验区。实施教师教育创新平台项目。建立教授、副教授学术休假制度。　　</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八）完善教师分类管理。严格实施高校教师资格制度，全面实行新进人员公开招聘制度。完善教师分类管理和分类评价办法，明确不同类型教师的岗位职责和任职条件，制定聘用、考核、晋升、奖惩办法。基础课教师重点考核教学任务、教学质量、教研成果和学术水平等情况。实验教学教师重点考核指导学生实验实习、教学设备研发、实验项目开发等情况。改革薪酬分配办法，实施绩效工资，分配政策向教学一线教师倾斜。鼓励高校探索以教学工作量和教学效果为导向的分配办法。加强教师管理，完善教师退出机制，规范教师兼职兼薪。加强高职学校专业</w:t>
      </w:r>
      <w:proofErr w:type="gramStart"/>
      <w:r w:rsidRPr="00D31BA8">
        <w:rPr>
          <w:rFonts w:ascii="宋体" w:eastAsia="宋体" w:hAnsi="宋体" w:cs="宋体" w:hint="eastAsia"/>
          <w:kern w:val="0"/>
          <w:szCs w:val="21"/>
        </w:rPr>
        <w:t>教师双师素质</w:t>
      </w:r>
      <w:proofErr w:type="gramEnd"/>
      <w:r w:rsidRPr="00D31BA8">
        <w:rPr>
          <w:rFonts w:ascii="宋体" w:eastAsia="宋体" w:hAnsi="宋体" w:cs="宋体" w:hint="eastAsia"/>
          <w:kern w:val="0"/>
          <w:szCs w:val="21"/>
        </w:rPr>
        <w:t>和双</w:t>
      </w:r>
      <w:proofErr w:type="gramStart"/>
      <w:r w:rsidRPr="00D31BA8">
        <w:rPr>
          <w:rFonts w:ascii="宋体" w:eastAsia="宋体" w:hAnsi="宋体" w:cs="宋体" w:hint="eastAsia"/>
          <w:kern w:val="0"/>
          <w:szCs w:val="21"/>
        </w:rPr>
        <w:t>师结构</w:t>
      </w:r>
      <w:proofErr w:type="gramEnd"/>
      <w:r w:rsidRPr="00D31BA8">
        <w:rPr>
          <w:rFonts w:ascii="宋体" w:eastAsia="宋体" w:hAnsi="宋体" w:cs="宋体" w:hint="eastAsia"/>
          <w:kern w:val="0"/>
          <w:szCs w:val="21"/>
        </w:rPr>
        <w:t>专业教学团队建设，鼓励和支持兼职教师申请教学系列专业技术职务。依法落实民办高校教师与公办高校教师平等法律地位。</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 xml:space="preserve">　　（二十九）加强高校基础条件建设。建立全国高校发展和建设规划项目储备库及管理信息系统，严格执行先规划、后建设制度。通过多种方式整合校园资源，优化办学空间，提高办学效益。完善办学条件和事业发展监测、评价及信息公开制度。加快推进教育信息化进程，加强数字校园、数据中心、现代教学环境等信息化条件建设。完善高等学历教育招生资格和红、黄牌学校审核发布制度，确保高校办学条件不低于国家基本标准。积极争取地方政府支持，缓解青年教师住房困难。</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lastRenderedPageBreak/>
        <w:t xml:space="preserve">　　（三十）加强高校经费保障。完善高校生</w:t>
      </w:r>
      <w:proofErr w:type="gramStart"/>
      <w:r w:rsidRPr="00D31BA8">
        <w:rPr>
          <w:rFonts w:ascii="宋体" w:eastAsia="宋体" w:hAnsi="宋体" w:cs="宋体" w:hint="eastAsia"/>
          <w:kern w:val="0"/>
          <w:szCs w:val="21"/>
        </w:rPr>
        <w:t>均财政</w:t>
      </w:r>
      <w:proofErr w:type="gramEnd"/>
      <w:r w:rsidRPr="00D31BA8">
        <w:rPr>
          <w:rFonts w:ascii="宋体" w:eastAsia="宋体" w:hAnsi="宋体" w:cs="宋体" w:hint="eastAsia"/>
          <w:kern w:val="0"/>
          <w:szCs w:val="21"/>
        </w:rPr>
        <w:t>定额拨款制度，建立动态调整机制，依法保证生</w:t>
      </w:r>
      <w:proofErr w:type="gramStart"/>
      <w:r w:rsidRPr="00D31BA8">
        <w:rPr>
          <w:rFonts w:ascii="宋体" w:eastAsia="宋体" w:hAnsi="宋体" w:cs="宋体" w:hint="eastAsia"/>
          <w:kern w:val="0"/>
          <w:szCs w:val="21"/>
        </w:rPr>
        <w:t>均财政</w:t>
      </w:r>
      <w:proofErr w:type="gramEnd"/>
      <w:r w:rsidRPr="00D31BA8">
        <w:rPr>
          <w:rFonts w:ascii="宋体" w:eastAsia="宋体" w:hAnsi="宋体" w:cs="宋体" w:hint="eastAsia"/>
          <w:kern w:val="0"/>
          <w:szCs w:val="21"/>
        </w:rPr>
        <w:t>定额拨款逐步增长。根据经济发展状况、培养成本和群众承受能力，合理确定和调整学费标准。完善财政捐赠配比政策，调动高校吸收社会捐赠的主动性、积极性。落实和完善国家对高校的各项税收优惠政策。推动高校建立科学、有效的预算管理机制，统筹财力，发挥资金的杠杆和导向作用。优化经费支出结构，加大教学投入。建立项目经费使用公开制度，增加高校经费使用透明度，控制和降低行政运行成本。建立健全自我约束与外部监督有机结合的财务监管体系，提高资金使用效益。</w:t>
      </w:r>
    </w:p>
    <w:p w:rsidR="00756514" w:rsidRPr="00D31BA8" w:rsidRDefault="00756514" w:rsidP="00D31BA8">
      <w:pPr>
        <w:widowControl/>
        <w:spacing w:before="100" w:beforeAutospacing="1" w:after="375" w:line="450" w:lineRule="atLeast"/>
        <w:jc w:val="right"/>
        <w:rPr>
          <w:rFonts w:ascii="宋体" w:eastAsia="宋体" w:hAnsi="宋体" w:cs="宋体" w:hint="eastAsia"/>
          <w:kern w:val="0"/>
          <w:szCs w:val="21"/>
        </w:rPr>
      </w:pPr>
      <w:r w:rsidRPr="00D31BA8">
        <w:rPr>
          <w:rFonts w:ascii="宋体" w:eastAsia="宋体" w:hAnsi="宋体" w:cs="宋体" w:hint="eastAsia"/>
          <w:kern w:val="0"/>
          <w:szCs w:val="21"/>
        </w:rPr>
        <w:t>中华人民共和国教育部</w:t>
      </w:r>
    </w:p>
    <w:p w:rsidR="00756514" w:rsidRPr="00D31BA8" w:rsidRDefault="00756514" w:rsidP="00D31BA8">
      <w:pPr>
        <w:widowControl/>
        <w:spacing w:before="100" w:beforeAutospacing="1" w:after="375" w:line="450" w:lineRule="atLeast"/>
        <w:jc w:val="left"/>
        <w:rPr>
          <w:rFonts w:ascii="宋体" w:eastAsia="宋体" w:hAnsi="宋体" w:cs="宋体" w:hint="eastAsia"/>
          <w:kern w:val="0"/>
          <w:szCs w:val="21"/>
        </w:rPr>
      </w:pPr>
      <w:r w:rsidRPr="00D31BA8">
        <w:rPr>
          <w:rFonts w:ascii="宋体" w:eastAsia="宋体" w:hAnsi="宋体" w:cs="宋体" w:hint="eastAsia"/>
          <w:kern w:val="0"/>
          <w:szCs w:val="21"/>
        </w:rPr>
        <w:t>二○一二年三月十六日</w:t>
      </w:r>
    </w:p>
    <w:p w:rsidR="00756514" w:rsidRPr="00D31BA8" w:rsidRDefault="00756514" w:rsidP="00D31BA8">
      <w:pPr>
        <w:widowControl/>
        <w:jc w:val="left"/>
        <w:rPr>
          <w:rFonts w:ascii="宋体" w:eastAsia="宋体" w:hAnsi="宋体" w:cs="宋体" w:hint="eastAsia"/>
          <w:kern w:val="0"/>
          <w:sz w:val="18"/>
          <w:szCs w:val="18"/>
        </w:rPr>
      </w:pPr>
    </w:p>
    <w:p w:rsidR="00B47784" w:rsidRPr="00D31BA8" w:rsidRDefault="00B47784"/>
    <w:sectPr w:rsidR="00B47784" w:rsidRPr="00D31BA8" w:rsidSect="00756514">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E3925"/>
    <w:multiLevelType w:val="multilevel"/>
    <w:tmpl w:val="1634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A8"/>
    <w:rsid w:val="00756514"/>
    <w:rsid w:val="00B47784"/>
    <w:rsid w:val="00D31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B0401-EA21-4461-B254-589AD006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1">
    <w:name w:val="style11"/>
    <w:basedOn w:val="a0"/>
    <w:rsid w:val="00D31BA8"/>
    <w:rPr>
      <w:b/>
      <w:bCs/>
      <w:sz w:val="22"/>
      <w:szCs w:val="22"/>
    </w:rPr>
  </w:style>
  <w:style w:type="character" w:customStyle="1" w:styleId="gongkaicontent2title1">
    <w:name w:val="gongkai_content_2_title1"/>
    <w:basedOn w:val="a0"/>
    <w:rsid w:val="00D31BA8"/>
    <w:rPr>
      <w:rFonts w:ascii="黑体" w:eastAsia="黑体" w:hAnsi="黑体" w:hint="eastAs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_yun_jwc</dc:creator>
  <cp:keywords/>
  <dc:description/>
  <cp:lastModifiedBy>_yun_jwc</cp:lastModifiedBy>
  <cp:revision>1</cp:revision>
  <dcterms:created xsi:type="dcterms:W3CDTF">2016-10-11T07:48:00Z</dcterms:created>
  <dcterms:modified xsi:type="dcterms:W3CDTF">2016-10-11T08:09:00Z</dcterms:modified>
</cp:coreProperties>
</file>