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464543"/>
          <w:sz w:val="48"/>
          <w:szCs w:val="48"/>
        </w:rPr>
        <w:t xml:space="preserve">2026 PRICING STRATEGY</w:t>
      </w:r>
    </w:p>
    <w:p>
      <w:pPr>
        <w:spacing w:after="40"/>
        <w:jc w:val="left"/>
      </w:pPr>
      <w:r>
        <w:rPr>
          <w:rFonts w:ascii="Arial" w:cs="Arial" w:eastAsia="Arial" w:hAnsi="Arial"/>
          <w:color w:val="846E60"/>
          <w:sz w:val="28"/>
          <w:szCs w:val="28"/>
        </w:rPr>
        <w:t xml:space="preserve">Internal Reference Guide</w:t>
      </w:r>
    </w:p>
    <w:p>
      <w:pPr>
        <w:pBdr>
          <w:bottom w:val="single" w:color="C19C81" w:sz="6" w:space="8"/>
        </w:pBdr>
        <w:spacing w:after="300"/>
      </w:pPr>
    </w:p>
    <w:p>
      <w:pPr>
        <w:spacing w:before="20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This document outlines Quill Creative’s pricing framework for 2026, including category-based markups, operational cost allocation, program profitability evaluation, and decision rules for program management fees.</w:t>
      </w:r>
    </w:p>
    <w:p>
      <w:pPr>
        <w:spacing w:before="20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64543"/>
          <w:sz w:val="20"/>
          <w:szCs w:val="20"/>
        </w:rPr>
        <w:t xml:space="preserve">Effective January 1, 2026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46E60"/>
          <w:sz w:val="20"/>
          <w:szCs w:val="20"/>
        </w:rPr>
        <w:t xml:space="preserve">Prepared for internal team use only.</w:t>
      </w:r>
    </w:p>
    <w:p>
      <w:r>
        <w:br w:type="page"/>
      </w:r>
    </w:p>
    <w:p>
      <w:pPr>
        <w:pStyle w:val="Heading1"/>
      </w:pPr>
      <w:r>
        <w:t xml:space="preserve">1. Category-Based Markup Schedule</w:t>
      </w: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Markup is applied by vendor category, not as a flat rate. The logic: mark up higher where clients have no benchmark to compare, and hold the floor where they do. Every category has a specific floor based on the coordination, expertise, and risk QC absorbs.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c>
          <w:tcPr>
            <w:tcW w:type="dxa" w:w="26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Category</w:t>
            </w:r>
          </w:p>
        </w:tc>
        <w:tc>
          <w:tcPr>
            <w:tcW w:type="dxa" w:w="11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Markup</w:t>
            </w:r>
          </w:p>
        </w:tc>
        <w:tc>
          <w:tcPr>
            <w:tcW w:type="dxa" w:w="566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Catering &amp; F&amp;B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54%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Clients can compare per-head pricing. Hold the floor.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Venues &amp; Room Rentals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60%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Competitive category; sourcing and negotiation adds value. Push to 60% when managing full venue relationship.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AV &amp; Production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65%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Technical coordination, load-in management, vendor liaison. Harder for clients to price-shop.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Décor &amp; Design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85%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Fully custom creative work. No apples-to-apples comparison exists. This is design expertise — price it accordingly.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Entertainment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75%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Talent sourcing, contract negotiation, rider management, logistics. Clients rarely know what acts cost.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Activities &amp; Experiences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75%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Curation, coordination, permitting, logistics. Selling the idea and the execution, not just a vendor.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Transportation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75%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Route planning, driver coordination, timing, backup plans. High-liability, high-coordination.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Staffing &amp; Labor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90%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Recruitment, briefing, scheduling, onsite management. QC owns the outcome, not just the hourly rate.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Purchased / Sourced Items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200%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Procurement, handling, inventory, setup, disposal. Small dollar items that take disproportionate time (3× cost).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Delivery &amp; Logistics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85%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Timing risk, damage liability, coordination. Clients don’t know what delivery costs.</w:t>
            </w:r>
          </w:p>
        </w:tc>
      </w:tr>
      <w:tr>
        <w:tc>
          <w:tcPr>
            <w:tcW w:type="dxa" w:w="26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Tours &amp; Guided Experiences</w:t>
            </w:r>
          </w:p>
        </w:tc>
        <w:tc>
          <w:tcPr>
            <w:tcW w:type="dxa" w:w="11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65%</w:t>
            </w:r>
          </w:p>
        </w:tc>
        <w:tc>
          <w:tcPr>
            <w:tcW w:type="dxa" w:w="56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Guide sourcing, route design, F&amp;B coordination. Fixed costs (guides, coordinators) scale across group sizes.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464543"/>
          <w:sz w:val="20"/>
          <w:szCs w:val="20"/>
        </w:rPr>
        <w:t xml:space="preserve">Absolute Floor: 54% markup on any line item. No exceptions without owner approval.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64543"/>
          <w:sz w:val="20"/>
          <w:szCs w:val="20"/>
        </w:rPr>
        <w:t xml:space="preserve">Blended Effect: On a typical multi-vendor program, this schedule produces a blended markup of 65–75% depending on category mix — meaningfully above the 54% floor and sufficient to cover real operational costs.</w:t>
      </w:r>
    </w:p>
    <w:p>
      <w:r>
        <w:br w:type="page"/>
      </w:r>
    </w:p>
    <w:p>
      <w:pPr>
        <w:pStyle w:val="Heading1"/>
      </w:pPr>
      <w:r>
        <w:t xml:space="preserve">2. Hours-Based OpEx Allocation</w:t>
      </w: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Instead of applying a flat percentage to every program, estimate the actual team hours the program will consume. This gives a true cost-to-serve and prevents small programs from quietly draining profitability.</w:t>
      </w:r>
    </w:p>
    <w:p>
      <w:pPr>
        <w:spacing w:before="4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464543"/>
          <w:sz w:val="20"/>
          <w:szCs w:val="20"/>
        </w:rPr>
        <w:t xml:space="preserve">Internal Hourly Rate: $90/hr</w:t>
      </w: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This accounts for salary, benefits, overhead, and non-billable time. Midpoint of the $75–$100 range.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2000"/>
        <w:gridCol w:w="2000"/>
      </w:tblGrid>
      <w:tr>
        <w:tc>
          <w:tcPr>
            <w:tcW w:type="dxa" w:w="18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56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OpEx Cost</w:t>
            </w:r>
          </w:p>
        </w:tc>
      </w:tr>
      <w:tr>
        <w:tc>
          <w:tcPr>
            <w:tcW w:type="dxa" w:w="18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Light</w:t>
            </w:r>
          </w:p>
        </w:tc>
        <w:tc>
          <w:tcPr>
            <w:tcW w:type="dxa" w:w="35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Single-vendor, simple logistics. Restaurant buyout, one activity, ticket sourcing.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8–20 hrs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$720–$1,800</w:t>
            </w:r>
          </w:p>
        </w:tc>
      </w:tr>
      <w:tr>
        <w:tc>
          <w:tcPr>
            <w:tcW w:type="dxa" w:w="18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Standard</w:t>
            </w:r>
          </w:p>
        </w:tc>
        <w:tc>
          <w:tcPr>
            <w:tcW w:type="dxa" w:w="35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Multi-vendor, single-day event. Venue + catering + décor + entertainment + transport.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25–50 hrs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$2,250–$4,500</w:t>
            </w:r>
          </w:p>
        </w:tc>
      </w:tr>
      <w:tr>
        <w:tc>
          <w:tcPr>
            <w:tcW w:type="dxa" w:w="18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Complex</w:t>
            </w:r>
          </w:p>
        </w:tc>
        <w:tc>
          <w:tcPr>
            <w:tcW w:type="dxa" w:w="35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Multi-day, multi-vendor, onsite staffing. Full incentive program, conference support, multi-city.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50–100 hrs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$4,500–$9,000</w:t>
            </w:r>
          </w:p>
        </w:tc>
      </w:tr>
      <w:tr>
        <w:tc>
          <w:tcPr>
            <w:tcW w:type="dxa" w:w="18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5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Large-scale, multi-day with design builds, production, multiple venues, 50+ guests.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100–160+ hrs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$9,000–$14,400+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How to use: When estimating a program, categorize it by tier, estimate hours, and multiply by $90. That number — not a blanket percentage — is what the program needs to cover beyond vendor costs and commissions.</w:t>
      </w:r>
    </w:p>
    <w:p>
      <w:r>
        <w:br w:type="page"/>
      </w:r>
    </w:p>
    <w:p>
      <w:pPr>
        <w:pStyle w:val="Heading1"/>
      </w:pPr>
      <w:r>
        <w:t xml:space="preserve">3. Commission Structure</w:t>
      </w: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Commission scenarios affect margin thresholds. QC must price differently depending on the commission load on a given program.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Commission</w:t>
            </w:r>
          </w:p>
        </w:tc>
        <w:tc>
          <w:tcPr>
            <w:tcW w:type="dxa" w:w="2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 Fee</w:t>
            </w:r>
          </w:p>
        </w:tc>
        <w:tc>
          <w:tcPr>
            <w:tcW w:type="dxa" w:w="216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to QC</w:t>
            </w:r>
          </w:p>
        </w:tc>
      </w:tr>
      <w:tr>
        <w:tc>
          <w:tcPr>
            <w:tcW w:type="dxa" w:w="32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Direct Client (no commission)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3.5%</w:t>
            </w:r>
          </w:p>
        </w:tc>
        <w:tc>
          <w:tcPr>
            <w:tcW w:type="dxa" w:w="21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96.5%</w:t>
            </w:r>
          </w:p>
        </w:tc>
      </w:tr>
      <w:tr>
        <w:tc>
          <w:tcPr>
            <w:tcW w:type="dxa" w:w="32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GDP Standard (no client commission)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6.5%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3.5%</w:t>
            </w:r>
          </w:p>
        </w:tc>
        <w:tc>
          <w:tcPr>
            <w:tcW w:type="dxa" w:w="21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32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GDP + Client Commission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21.5%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3.5%</w:t>
            </w:r>
          </w:p>
        </w:tc>
        <w:tc>
          <w:tcPr>
            <w:tcW w:type="dxa" w:w="21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75.0%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The 21.5% commission scenario (GDP 6.5% + client agent 15%) represents the most aggressive margin compression. Programs in this scenario require higher markups or visible management fees to remain profitable.</w:t>
      </w:r>
    </w:p>
    <w:p>
      <w:pPr>
        <w:pStyle w:val="Heading1"/>
      </w:pPr>
      <w:r>
        <w:t xml:space="preserve">4. Program P&amp;L Evaluation Framework</w:t>
      </w: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Every estimate should be evaluated against this framework before it goes to the client. The Master Pricing Template automates this calculation.</w:t>
      </w:r>
    </w:p>
    <w:p>
      <w:pPr>
        <w:spacing w:before="8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FA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464543"/>
                <w:sz w:val="18"/>
                <w:szCs w:val="18"/>
              </w:rPr>
              <w:t xml:space="preserve">CLIENT INVOICE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64543"/>
                <w:sz w:val="18"/>
                <w:szCs w:val="18"/>
              </w:rPr>
              <w:t xml:space="preserve">  Less: Client Commission (if any)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64543"/>
                <w:sz w:val="18"/>
                <w:szCs w:val="18"/>
              </w:rPr>
              <w:t xml:space="preserve">  Less: GDP Fee (6.5%)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64543"/>
                <w:sz w:val="18"/>
                <w:szCs w:val="18"/>
              </w:rPr>
              <w:t xml:space="preserve">  Less: Total Vendor Costs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464543"/>
                <w:sz w:val="18"/>
                <w:szCs w:val="18"/>
              </w:rPr>
              <w:t xml:space="preserve">= QC GROSS REVENUE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846E60"/>
                <w:sz w:val="18"/>
                <w:szCs w:val="18"/>
              </w:rPr>
              <w:t xml:space="preserve">  QC Margin 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64543"/>
                <w:sz w:val="18"/>
                <w:szCs w:val="18"/>
              </w:rPr>
              <w:t xml:space="preserve">  Less: Estimated OpEx (hours × $90)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464543"/>
                <w:sz w:val="18"/>
                <w:szCs w:val="18"/>
              </w:rPr>
              <w:t xml:space="preserve">= TRUE NET PROFIT</w:t>
            </w:r>
          </w:p>
          <w:p>
            <w:r>
              <w:rPr>
                <w:rFonts w:ascii="Courier New" w:cs="Courier New" w:eastAsia="Courier New" w:hAnsi="Courier New"/>
                <w:color w:val="846E60"/>
                <w:sz w:val="18"/>
                <w:szCs w:val="18"/>
              </w:rPr>
              <w:t xml:space="preserve">  True Net Margin %</w:t>
            </w:r>
          </w:p>
        </w:tc>
      </w:tr>
    </w:tbl>
    <w:p>
      <w:pPr>
        <w:spacing w:before="160" w:after="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Target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c>
          <w:tcPr>
            <w:tcW w:type="dxa" w:w="35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53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Floor</w:t>
            </w:r>
          </w:p>
        </w:tc>
        <w:tc>
          <w:tcPr>
            <w:tcW w:type="dxa" w:w="1953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54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Stretch</w:t>
            </w:r>
          </w:p>
        </w:tc>
      </w:tr>
      <w:tr>
        <w:tc>
          <w:tcPr>
            <w:tcW w:type="dxa" w:w="3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QC Margin % (no commission)</w:t>
            </w:r>
          </w:p>
        </w:tc>
        <w:tc>
          <w:tcPr>
            <w:tcW w:type="dxa" w:w="1953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35%</w:t>
            </w:r>
          </w:p>
        </w:tc>
        <w:tc>
          <w:tcPr>
            <w:tcW w:type="dxa" w:w="1953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42–45%</w:t>
            </w:r>
          </w:p>
        </w:tc>
        <w:tc>
          <w:tcPr>
            <w:tcW w:type="dxa" w:w="1954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50%+</w:t>
            </w:r>
          </w:p>
        </w:tc>
      </w:tr>
      <w:tr>
        <w:tc>
          <w:tcPr>
            <w:tcW w:type="dxa" w:w="3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QC Margin % (6.5% GDP only)</w:t>
            </w:r>
          </w:p>
        </w:tc>
        <w:tc>
          <w:tcPr>
            <w:tcW w:type="dxa" w:w="1953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30%</w:t>
            </w:r>
          </w:p>
        </w:tc>
        <w:tc>
          <w:tcPr>
            <w:tcW w:type="dxa" w:w="1953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38–42%</w:t>
            </w:r>
          </w:p>
        </w:tc>
        <w:tc>
          <w:tcPr>
            <w:tcW w:type="dxa" w:w="1954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45%+</w:t>
            </w:r>
          </w:p>
        </w:tc>
      </w:tr>
      <w:tr>
        <w:tc>
          <w:tcPr>
            <w:tcW w:type="dxa" w:w="3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QC Margin % (21.5% commission)</w:t>
            </w:r>
          </w:p>
        </w:tc>
        <w:tc>
          <w:tcPr>
            <w:tcW w:type="dxa" w:w="1953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22%</w:t>
            </w:r>
          </w:p>
        </w:tc>
        <w:tc>
          <w:tcPr>
            <w:tcW w:type="dxa" w:w="1953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28–32%</w:t>
            </w:r>
          </w:p>
        </w:tc>
        <w:tc>
          <w:tcPr>
            <w:tcW w:type="dxa" w:w="1954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35%+</w:t>
            </w:r>
          </w:p>
        </w:tc>
      </w:tr>
      <w:tr>
        <w:tc>
          <w:tcPr>
            <w:tcW w:type="dxa" w:w="3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64543"/>
                <w:sz w:val="18"/>
                <w:szCs w:val="18"/>
              </w:rPr>
              <w:t xml:space="preserve">True Net Margin %</w:t>
            </w:r>
          </w:p>
        </w:tc>
        <w:tc>
          <w:tcPr>
            <w:tcW w:type="dxa" w:w="1953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5%</w:t>
            </w:r>
          </w:p>
        </w:tc>
        <w:tc>
          <w:tcPr>
            <w:tcW w:type="dxa" w:w="1953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10–15%</w:t>
            </w:r>
          </w:p>
        </w:tc>
        <w:tc>
          <w:tcPr>
            <w:tcW w:type="dxa" w:w="1954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18%+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QC Margin floors shift based on commission load because the commission eats margin before QC touches it. A 30% QC Margin on a GDP-only client and a 30% QC Margin on a 21.5% commission client represent very different markup levels.</w:t>
      </w:r>
    </w:p>
    <w:p>
      <w:r>
        <w:br w:type="page"/>
      </w:r>
    </w:p>
    <w:p>
      <w:pPr>
        <w:pStyle w:val="Heading1"/>
      </w:pPr>
      <w:r>
        <w:t xml:space="preserve">5. Margin Health Indicators</w:t>
      </w: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The Master Pricing Template uses color-coded indicators to flag program health at a glance. These are built into the Venue, Décor, and Tour estimate tabs.</w:t>
      </w:r>
    </w:p>
    <w:p>
      <w:pPr>
        <w:spacing w:before="80" w:after="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QC Gross Margin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2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586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STRONG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≥ 45%</w:t>
            </w:r>
          </w:p>
        </w:tc>
        <w:tc>
          <w:tcPr>
            <w:tcW w:type="dxa" w:w="58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Healthy margin. Program is well-priced.</w:t>
            </w:r>
          </w:p>
        </w:tc>
      </w:tr>
      <w:tr>
        <w:tc>
          <w:tcPr>
            <w:tcW w:type="dxa" w:w="1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18"/>
                <w:szCs w:val="18"/>
              </w:rPr>
              <w:t xml:space="preserve">→ ON TARGET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≥ 35%</w:t>
            </w:r>
          </w:p>
        </w:tc>
        <w:tc>
          <w:tcPr>
            <w:tcW w:type="dxa" w:w="58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Acceptable. Monitor for scope creep.</w:t>
            </w:r>
          </w:p>
        </w:tc>
      </w:tr>
      <w:tr>
        <w:tc>
          <w:tcPr>
            <w:tcW w:type="dxa" w:w="1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 REVIEW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≥ 25%</w:t>
            </w:r>
          </w:p>
        </w:tc>
        <w:tc>
          <w:tcPr>
            <w:tcW w:type="dxa" w:w="58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Thin margin. May not cover OpEx. Adjust pricing or add management fee.</w:t>
            </w:r>
          </w:p>
        </w:tc>
      </w:tr>
      <w:tr>
        <w:tc>
          <w:tcPr>
            <w:tcW w:type="dxa" w:w="1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 BELOW FLOOR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&lt; 25%</w:t>
            </w:r>
          </w:p>
        </w:tc>
        <w:tc>
          <w:tcPr>
            <w:tcW w:type="dxa" w:w="58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Below minimum. Do not proceed without owner approval and pricing adjustment.</w:t>
            </w:r>
          </w:p>
        </w:tc>
      </w:tr>
    </w:tbl>
    <w:p>
      <w:pPr>
        <w:spacing w:before="160" w:after="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True Net Margin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2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586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STRONG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≥ 15%</w:t>
            </w:r>
          </w:p>
        </w:tc>
        <w:tc>
          <w:tcPr>
            <w:tcW w:type="dxa" w:w="58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Profitable after all costs including team time.</w:t>
            </w:r>
          </w:p>
        </w:tc>
      </w:tr>
      <w:tr>
        <w:tc>
          <w:tcPr>
            <w:tcW w:type="dxa" w:w="1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18"/>
                <w:szCs w:val="18"/>
              </w:rPr>
              <w:t xml:space="preserve">→ ON TARGET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≥ 7%</w:t>
            </w:r>
          </w:p>
        </w:tc>
        <w:tc>
          <w:tcPr>
            <w:tcW w:type="dxa" w:w="58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Acceptable net return. Keep hours in check.</w:t>
            </w:r>
          </w:p>
        </w:tc>
      </w:tr>
      <w:tr>
        <w:tc>
          <w:tcPr>
            <w:tcW w:type="dxa" w:w="1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 THIN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≥ 0%</w:t>
            </w:r>
          </w:p>
        </w:tc>
        <w:tc>
          <w:tcPr>
            <w:tcW w:type="dxa" w:w="58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Breaking even on team time. Only justified for strategic relationship value.</w:t>
            </w:r>
          </w:p>
        </w:tc>
      </w:tr>
      <w:tr>
        <w:tc>
          <w:tcPr>
            <w:tcW w:type="dxa" w:w="15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✗ LOSING MONEY</w:t>
            </w:r>
          </w:p>
        </w:tc>
        <w:tc>
          <w:tcPr>
            <w:tcW w:type="dxa" w:w="2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&lt; 0%</w:t>
            </w:r>
          </w:p>
        </w:tc>
        <w:tc>
          <w:tcPr>
            <w:tcW w:type="dxa" w:w="58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Program costs more in team time than it generates. Walk away or restructure.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Decision Rules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When to Add a Visible Program Management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Programs over $40K where the scope includes onsite staffing, multi-day coordination, or design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Fee range: $2,500–$10,000 depending on complexity.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Fortune 500 clients expect this line item. It signals professionalism.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When to Absorb Into Markup Instead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Programs under $40K or returning clients where a new line item would create friction.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Bake coordination time into higher markups on décor, staffing, and logistics categories.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When to Walk Away or Set Minimum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If True Net Profit is negative after hours-based OpEx and pricing cannot be adjusted.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Add a minimum program fee of $1,500–$2,500 or decline the work.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Small programs with the same coordination overhead as large ones are the highest-risk category.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When to Flex Below the Markup Floor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Strategic relationship plays where the client represents recurring high-value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Accept thin margins on an individual program only if the annual relationship math works.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464543"/>
          <w:sz w:val="20"/>
          <w:szCs w:val="20"/>
        </w:rPr>
        <w:t xml:space="preserve">Document the decision. Do not let it become the default.</w:t>
      </w:r>
    </w:p>
    <w:p>
      <w:r>
        <w:br w:type="page"/>
      </w:r>
    </w:p>
    <w:p>
      <w:pPr>
        <w:pStyle w:val="Heading1"/>
      </w:pPr>
      <w:r>
        <w:t xml:space="preserve">7. Quick Reference Rates</w:t>
      </w:r>
    </w:p>
    <w:p>
      <w:pPr>
        <w:spacing w:before="80" w:after="80"/>
      </w:pPr>
      <w:r>
        <w:rPr>
          <w:rFonts w:ascii="Arial" w:cs="Arial" w:eastAsia="Arial" w:hAnsi="Arial"/>
          <w:color w:val="464543"/>
          <w:sz w:val="20"/>
          <w:szCs w:val="20"/>
        </w:rPr>
        <w:t xml:space="preserve">Standard rates pre-loaded in the Master Pricing Template for quick estimating.</w:t>
      </w:r>
    </w:p>
    <w:p>
      <w:pPr>
        <w:spacing w:before="80" w:after="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Tour &amp; Staffing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Licensed Tour Guide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$500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QC Event Coordinator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$750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QC On-Site Lead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$1,000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Photographer / Videographer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$800</w:t>
            </w:r>
          </w:p>
        </w:tc>
      </w:tr>
    </w:tbl>
    <w:p>
      <w:pPr>
        <w:spacing w:before="160" w:after="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Transportation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436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SUV (6 pax)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$450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Sprinter Van (12–14 pax)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$850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Mini Bus (24–30 pax)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$1,200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Full Motor Coach (50–56 pax)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$1,800</w:t>
            </w:r>
          </w:p>
        </w:tc>
      </w:tr>
    </w:tbl>
    <w:p>
      <w:pPr>
        <w:spacing w:before="160" w:after="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846E60"/>
          <w:sz w:val="26"/>
          <w:szCs w:val="26"/>
        </w:rPr>
        <w:t xml:space="preserve">Fee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dxa" w:w="4360"/>
            <w:tcBorders>
              <w:top w:val="single" w:color="846E60" w:sz="1"/>
              <w:left w:val="single" w:color="846E60" w:sz="1"/>
              <w:bottom w:val="single" w:color="846E60" w:sz="1"/>
              <w:right w:val="single" w:color="846E60" w:sz="1"/>
            </w:tcBorders>
            <w:shd w:fill="4645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CC Processing Fee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Service Charge (restaurants)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Guide Gratuity (tours)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Admin Fee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AF6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500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Minimum Billing Guests (tours)</w:t>
            </w:r>
          </w:p>
        </w:tc>
        <w:tc>
          <w:tcPr>
            <w:tcW w:type="dxa" w:w="4360"/>
            <w:tcBorders>
              <w:top w:val="single" w:color="A9AEB4" w:sz="1"/>
              <w:left w:val="single" w:color="A9AEB4" w:sz="1"/>
              <w:bottom w:val="single" w:color="A9AEB4" w:sz="1"/>
              <w:right w:val="single" w:color="A9AEB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64543"/>
                <w:sz w:val="18"/>
                <w:szCs w:val="18"/>
              </w:rPr>
              <w:t xml:space="preserve">15</w:t>
            </w:r>
          </w:p>
        </w:tc>
      </w:tr>
    </w:tbl>
    <w:p>
      <w:pPr>
        <w:spacing w:before="400" w:after="0"/>
      </w:pPr>
    </w:p>
    <w:p>
      <w:pPr>
        <w:pBdr>
          <w:top w:val="single" w:color="C19C81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46E60"/>
          <w:sz w:val="16"/>
          <w:szCs w:val="16"/>
        </w:rPr>
        <w:t xml:space="preserve">Quill Creative Event Design  ·  2025 DMC of the Year  ·  quillcreative.co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9AEB4" w:sz="1" w:space="4"/>
      </w:pBdr>
      <w:spacing w:before="80"/>
      <w:jc w:val="center"/>
    </w:pPr>
    <w:r>
      <w:rPr>
        <w:rFonts w:ascii="Arial" w:cs="Arial" w:eastAsia="Arial" w:hAnsi="Arial"/>
        <w:color w:val="A9AEB4"/>
        <w:sz w:val="14"/>
        <w:szCs w:val="14"/>
      </w:rPr>
      <w:t xml:space="preserve">Quill Creative Event Design  |  Confidential  |  2026 Pricing Strategy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714500" cy="2952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6454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6454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846E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3bc343f201f49f53c551d404e442a1be57e55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2026-02-21T15:08:30.931Z</dcterms:created>
  <dcterms:modified xsi:type="dcterms:W3CDTF">2026-02-21T15:08:30.932Z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