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WHITE PAPER: EDTECH STRATEGY 2026</w:t>
      </w:r>
    </w:p>
    <w:p/>
    <w:p>
      <w:r>
        <w:t>Smart Student: The Operating System of Education</w:t>
      </w:r>
    </w:p>
    <w:p/>
    <w:p>
      <w:r>
        <w:t>Report Title: Predictive Analytics and GenAI Models: The Transition from Reactive Management to Strategic Prevention of Chronic Absenteeism in Chile.</w:t>
      </w:r>
    </w:p>
    <w:p/>
    <w:p>
      <w:r>
        <w:t>1. EXECUTIVE SUMMARY</w:t>
      </w:r>
    </w:p>
    <w:p/>
    <w:p>
      <w:r>
        <w:t>The Paradox of Apparent Success: Why Enrollment Does Not Guarantee Educational Trajectory</w:t>
      </w:r>
    </w:p>
    <w:p/>
    <w:p>
      <w:r>
        <w:t>At the close of the 2024 school year, the Chilean education system celebrated a statistical victory: the school dropout rate reached a historic low of approximately 1.3%, reversing negative post-pandemic trends. However, beneath this surface of stability lies a latent operational crisis. Attendance reports from 2024 reveal that 931,735 students experienced severe absenteeism, missing more than 15% of their school days. In practical terms, this means that nearly one million students remain formally enrolled but are pedagogically disengaged.</w:t>
      </w:r>
    </w:p>
    <w:p/>
    <w:p>
      <w:r>
        <w:t>This technical document argues that the traditional school management model—based on administrative record-keeping and reacting to a failing grade or completed dropout—has become obsolete for the challenges of 2026.</w:t>
      </w:r>
    </w:p>
    <w:p/>
    <w:p>
      <w:r>
        <w:t>The Smart Student Proposal</w:t>
      </w:r>
    </w:p>
    <w:p/>
    <w:p>
      <w:r>
        <w:t>We present a paradigm shift toward Predictive Data Governance. Through the implementation of Generative Artificial Intelligence (GenAI) models and classification neural networks, Smart Student does not merely digitize school bureaucracy. Our platform acts as an early warning system capable of:</w:t>
      </w:r>
    </w:p>
    <w:p/>
    <w:p>
      <w:r>
        <w:t>- Detecting silent dropout patterns (chronic absenteeism) months before a student leaves the system.</w:t>
      </w:r>
    </w:p>
    <w:p>
      <w:r>
        <w:t>- Predicting financial and academic risks by cross-referencing behavioral, payment, and performance variables.</w:t>
      </w:r>
    </w:p>
    <w:p>
      <w:r>
        <w:t>- Prescribing personalized interventions for leadership teams, optimizing retention and institutional sustainability.</w:t>
      </w:r>
    </w:p>
    <w:p/>
    <w:p>
      <w:r>
        <w:t>This White Paper details how technology evolves from administrative support to becoming the engine of educational equity and efficiency.</w:t>
      </w:r>
    </w:p>
    <w:p/>
    <w:p>
      <w:r>
        <w:t>2. THE PARADIGM SHIFT: FROM REACTION TO PREDICTION</w:t>
      </w:r>
    </w:p>
    <w:p/>
    <w:p>
      <w:r>
        <w:t>The Insufficiency of Historical Data</w:t>
      </w:r>
    </w:p>
    <w:p/>
    <w:p>
      <w:r>
        <w:t>For decades, school administrators have managed their institutions by looking in the rearview mirror. Traditional Student Information Systems deliver management autopsies: last month’s attendance reports or last year’s financial statements. In 2026, managing with data that is 30 days old is managing blindly.</w:t>
      </w:r>
    </w:p>
    <w:p/>
    <w:p>
      <w:r>
        <w:t>Chronic Absenteeism: The Invisible Enemy</w:t>
      </w:r>
    </w:p>
    <w:p/>
    <w:p>
      <w:r>
        <w:t>Average attendance is a vanity metric that hides risk clusters. The true indicator of institutional health in 2026 is Chronic Absenteeism.</w:t>
      </w:r>
    </w:p>
    <w:p/>
    <w:p>
      <w:r>
        <w:t>A student does not decide to drop out overnight. Dropout is an erosive process that begins with intermittent absences, continues with emotional disengagement, and culminates in complete withdrawal.</w:t>
      </w:r>
    </w:p>
    <w:p/>
    <w:p>
      <w:r>
        <w:t>Technology as an Agent of Change</w:t>
      </w:r>
    </w:p>
    <w:p/>
    <w:p>
      <w:r>
        <w:t>The current challenge is not a lack of data, but the human inability to process its volume and complexity in real time. By integrating a unified Data Lake, Smart Student transforms isolated spreadsheets into strategic intelligence.</w:t>
      </w:r>
    </w:p>
    <w:p/>
    <w:p>
      <w:r>
        <w:t>3. ECOSYSTEM ARCHITECTURE: BEYOND HISTORICAL DATA</w:t>
      </w:r>
    </w:p>
    <w:p/>
    <w:p>
      <w:r>
        <w:t>Smart Student operates as an active organism. Our architecture processes, interprets, and generates action strategies through a Hybrid Artificial Intelligence approach (Predictive + Generative).</w:t>
      </w:r>
    </w:p>
    <w:p/>
    <w:p>
      <w:r>
        <w:t>Multivariable Data Ingestion</w:t>
      </w:r>
    </w:p>
    <w:p/>
    <w:p>
      <w:r>
        <w:t>The model feeds on academic, behavioral, and financial data streams to build each student’s Risk Profile.</w:t>
      </w:r>
    </w:p>
    <w:p/>
    <w:p>
      <w:r>
        <w:t>Inference Engine: Genkit + Gemini</w:t>
      </w:r>
    </w:p>
    <w:p/>
    <w:p>
      <w:r>
        <w:t>Level 1: Predictive Analytics (The Radar)</w:t>
      </w:r>
    </w:p>
    <w:p>
      <w:r>
        <w:t>The model analyzes complex historical patterns to detect dropout probability.</w:t>
      </w:r>
    </w:p>
    <w:p/>
    <w:p>
      <w:r>
        <w:t>Level 2: Generative AI (The Copilot)</w:t>
      </w:r>
    </w:p>
    <w:p>
      <w:r>
        <w:t>The system drafts intervention plans, personalized emails, and faculty summaries automatically.</w:t>
      </w:r>
    </w:p>
    <w:p/>
    <w:p>
      <w:r>
        <w:t>Data Governance and Ethics (Privacy-First)</w:t>
      </w:r>
    </w:p>
    <w:p/>
    <w:p>
      <w:r>
        <w:t>Smart Student adheres to Privacy by Design principles. Sensitive data is anonymized before algorithmic processing to ensure objective and bias-free predictions.</w:t>
      </w:r>
    </w:p>
    <w:p/>
    <w:p>
      <w:r>
        <w:t>4. IMPLEMENTATION METHODOLOGY: FROM INSIGHT TO ACTION</w:t>
      </w:r>
    </w:p>
    <w:p/>
    <w:p>
      <w:r>
        <w:t>Phase 1: Audit and Data Cleaning (Month 1)</w:t>
      </w:r>
    </w:p>
    <w:p>
      <w:r>
        <w:t>Phase 2: Threshold Configuration (Month 2)</w:t>
      </w:r>
    </w:p>
    <w:p>
      <w:r>
        <w:t>Phase 3: Automated Intervention Protocols (Month 3 onward)</w:t>
      </w:r>
    </w:p>
    <w:p/>
    <w:p>
      <w:r>
        <w:t>5. BUSINESS CASE: THE ROI OF RETENTION</w:t>
      </w:r>
    </w:p>
    <w:p/>
    <w:p>
      <w:r>
        <w:t>A marginal increase in attendance has an exponential impact on revenue under Chile’s attendance-based funding system.</w:t>
      </w:r>
    </w:p>
    <w:p/>
    <w:p>
      <w:r>
        <w:t>Reducing administrative workload frees more than 20 hours per week for school teams, allowing focus on high-impact student support.</w:t>
      </w:r>
    </w:p>
    <w:p/>
    <w:p>
      <w:r>
        <w:t>6. CONCLUSIONS AND 2026 ROADMAP</w:t>
      </w:r>
    </w:p>
    <w:p/>
    <w:p>
      <w:r>
        <w:t>Artificial intelligence does not replace pedagogy; it humanizes it. In 2026, technology is the guarantor of educational equity.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