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C69" w:rsidRPr="007D4555" w:rsidRDefault="005150D3" w:rsidP="005150D3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7D4555">
        <w:rPr>
          <w:rFonts w:asciiTheme="majorHAnsi" w:hAnsiTheme="majorHAnsi" w:cstheme="majorHAnsi"/>
          <w:b/>
          <w:sz w:val="26"/>
          <w:szCs w:val="26"/>
          <w:lang w:val="en-US"/>
        </w:rPr>
        <w:t>CỘNG HÒA XÃ HỘI CHỦ NGHĨA VIỆT NAM</w:t>
      </w:r>
    </w:p>
    <w:p w:rsidR="005150D3" w:rsidRPr="007D4555" w:rsidRDefault="005150D3" w:rsidP="005150D3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7D4555">
        <w:rPr>
          <w:rFonts w:asciiTheme="majorHAnsi" w:hAnsiTheme="majorHAnsi" w:cstheme="majorHAnsi"/>
          <w:b/>
          <w:sz w:val="26"/>
          <w:szCs w:val="26"/>
          <w:lang w:val="en-US"/>
        </w:rPr>
        <w:t>Độc lập – Tự do – Hạnh phúc</w:t>
      </w:r>
    </w:p>
    <w:p w:rsidR="005150D3" w:rsidRDefault="005150D3" w:rsidP="005150D3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----------------------------------</w:t>
      </w:r>
    </w:p>
    <w:p w:rsidR="005150D3" w:rsidRPr="007D4555" w:rsidRDefault="005150D3" w:rsidP="005150D3">
      <w:pPr>
        <w:jc w:val="center"/>
        <w:rPr>
          <w:rFonts w:asciiTheme="majorHAnsi" w:hAnsiTheme="majorHAnsi" w:cstheme="majorHAnsi"/>
          <w:b/>
          <w:sz w:val="32"/>
          <w:szCs w:val="26"/>
          <w:lang w:val="en-US"/>
        </w:rPr>
      </w:pPr>
      <w:r w:rsidRPr="007D4555">
        <w:rPr>
          <w:rFonts w:asciiTheme="majorHAnsi" w:hAnsiTheme="majorHAnsi" w:cstheme="majorHAnsi"/>
          <w:b/>
          <w:sz w:val="32"/>
          <w:szCs w:val="26"/>
          <w:lang w:val="en-US"/>
        </w:rPr>
        <w:t>BIÊN BẢN NGHIỆM THU THANH LÝ HỢP ĐỒNG</w:t>
      </w:r>
    </w:p>
    <w:p w:rsidR="005150D3" w:rsidRDefault="005150D3" w:rsidP="005150D3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Số:……………………………….</w:t>
      </w:r>
    </w:p>
    <w:p w:rsidR="005150D3" w:rsidRPr="005150D3" w:rsidRDefault="005150D3" w:rsidP="005C14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Căn cứ Hợp đồng số </w:t>
      </w:r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 xml:space="preserve">23-2015/PAIC-GPPM/MDV </w:t>
      </w:r>
      <w:r w:rsidR="005C14CD">
        <w:rPr>
          <w:rFonts w:asciiTheme="majorHAnsi" w:hAnsiTheme="majorHAnsi" w:cstheme="majorHAnsi"/>
          <w:i/>
          <w:sz w:val="26"/>
          <w:szCs w:val="26"/>
          <w:lang w:val="en-US"/>
        </w:rPr>
        <w:t>ký ngày 01 tháng 04 năm 2015</w:t>
      </w:r>
      <w:r>
        <w:rPr>
          <w:rFonts w:asciiTheme="majorHAnsi" w:hAnsiTheme="majorHAnsi" w:cstheme="majorHAnsi"/>
          <w:i/>
          <w:sz w:val="26"/>
          <w:szCs w:val="26"/>
          <w:lang w:val="en-US"/>
        </w:rPr>
        <w:t xml:space="preserve"> giữa Công ty CP Công nghệ thông tin, Viễn thông và Tự động hóa Dầu khí và </w:t>
      </w:r>
      <w:r w:rsidR="005C14CD" w:rsidRPr="005C14CD">
        <w:rPr>
          <w:rFonts w:asciiTheme="majorHAnsi" w:hAnsiTheme="majorHAnsi" w:cstheme="majorHAnsi"/>
          <w:i/>
          <w:sz w:val="26"/>
          <w:szCs w:val="26"/>
          <w:lang w:val="en-US"/>
        </w:rPr>
        <w:t>Công ty cổ phần công nghệ và đầu tư NDQ Việt Nam (NDQ)</w:t>
      </w:r>
      <w:r>
        <w:rPr>
          <w:rFonts w:asciiTheme="majorHAnsi" w:hAnsiTheme="majorHAnsi" w:cstheme="majorHAnsi"/>
          <w:i/>
          <w:sz w:val="26"/>
          <w:szCs w:val="26"/>
          <w:lang w:val="en-US"/>
        </w:rPr>
        <w:t>;</w:t>
      </w:r>
    </w:p>
    <w:p w:rsidR="005150D3" w:rsidRPr="005150D3" w:rsidRDefault="005150D3" w:rsidP="005150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sz w:val="26"/>
          <w:szCs w:val="26"/>
          <w:lang w:val="en-US"/>
        </w:rPr>
        <w:t>Căn cứ tình hình thực tế việc thực hiện nghĩa vụ của các bên trong Hợp đồng</w:t>
      </w:r>
    </w:p>
    <w:p w:rsidR="005150D3" w:rsidRDefault="005150D3" w:rsidP="005150D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Hôm nay, ngày </w:t>
      </w:r>
      <w:r w:rsidR="005C14CD">
        <w:rPr>
          <w:rFonts w:asciiTheme="majorHAnsi" w:hAnsiTheme="majorHAnsi" w:cstheme="majorHAnsi"/>
          <w:sz w:val="26"/>
          <w:szCs w:val="26"/>
          <w:lang w:val="en-US"/>
        </w:rPr>
        <w:t>04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tháng </w:t>
      </w:r>
      <w:r w:rsidR="005C14CD">
        <w:rPr>
          <w:rFonts w:asciiTheme="majorHAnsi" w:hAnsiTheme="majorHAnsi" w:cstheme="majorHAnsi"/>
          <w:sz w:val="26"/>
          <w:szCs w:val="26"/>
          <w:lang w:val="en-US"/>
        </w:rPr>
        <w:t>06 năm 2015</w:t>
      </w:r>
      <w:r>
        <w:rPr>
          <w:rFonts w:asciiTheme="majorHAnsi" w:hAnsiTheme="majorHAnsi" w:cstheme="majorHAnsi"/>
          <w:sz w:val="26"/>
          <w:szCs w:val="26"/>
          <w:lang w:val="en-US"/>
        </w:rPr>
        <w:t>, tại Hà Nội, chúng tôi gồm:</w:t>
      </w:r>
    </w:p>
    <w:p w:rsidR="005150D3" w:rsidRPr="005150D3" w:rsidRDefault="009A28E4" w:rsidP="005150D3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x-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x-none" w:eastAsia="x-none"/>
        </w:rPr>
        <w:t>Bên A</w:t>
      </w:r>
      <w:r w:rsidR="005150D3" w:rsidRPr="005150D3">
        <w:rPr>
          <w:rFonts w:ascii="Times New Roman" w:eastAsia="Times New Roman" w:hAnsi="Times New Roman" w:cs="Times New Roman"/>
          <w:b/>
          <w:bCs/>
          <w:sz w:val="26"/>
          <w:szCs w:val="26"/>
          <w:lang w:val="x-none" w:eastAsia="x-none"/>
        </w:rPr>
        <w:t xml:space="preserve">: </w:t>
      </w:r>
      <w:r w:rsidR="005150D3" w:rsidRPr="005150D3">
        <w:rPr>
          <w:rFonts w:ascii="Times New Roman" w:eastAsia="Times New Roman" w:hAnsi="Times New Roman" w:cs="Times New Roman"/>
          <w:b/>
          <w:spacing w:val="-6"/>
          <w:sz w:val="26"/>
          <w:szCs w:val="26"/>
          <w:lang w:val="x-none" w:eastAsia="x-none"/>
        </w:rPr>
        <w:t xml:space="preserve">CÔNG TY CỔ PHẦN </w:t>
      </w:r>
      <w:r w:rsidR="005150D3" w:rsidRPr="005150D3">
        <w:rPr>
          <w:rFonts w:ascii="Times New Roman" w:eastAsia="Times New Roman" w:hAnsi="Times New Roman" w:cs="Times New Roman"/>
          <w:b/>
          <w:spacing w:val="-6"/>
          <w:sz w:val="26"/>
          <w:szCs w:val="26"/>
          <w:lang w:val="en-US" w:eastAsia="x-none"/>
        </w:rPr>
        <w:t>CÔNG NGHỆ THÔNG TIN, VIỄN THÔNG VÀ TỰ ĐỘNG HÓA DẦU KHÍ</w:t>
      </w:r>
    </w:p>
    <w:tbl>
      <w:tblPr>
        <w:tblW w:w="912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55"/>
        <w:gridCol w:w="7565"/>
      </w:tblGrid>
      <w:tr w:rsidR="005150D3" w:rsidRPr="005150D3" w:rsidTr="009A7988">
        <w:tc>
          <w:tcPr>
            <w:tcW w:w="1554" w:type="dxa"/>
          </w:tcPr>
          <w:p w:rsidR="005150D3" w:rsidRPr="005150D3" w:rsidRDefault="005150D3" w:rsidP="005150D3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Địa chỉ</w:t>
            </w:r>
          </w:p>
          <w:p w:rsidR="005150D3" w:rsidRPr="005150D3" w:rsidRDefault="005150D3" w:rsidP="005150D3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:rsidR="005150D3" w:rsidRPr="005150D3" w:rsidRDefault="005150D3" w:rsidP="005150D3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Điện thoại </w:t>
            </w:r>
          </w:p>
          <w:p w:rsidR="005150D3" w:rsidRPr="005150D3" w:rsidRDefault="005150D3" w:rsidP="005150D3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Mã số thuế</w:t>
            </w:r>
          </w:p>
          <w:p w:rsidR="005150D3" w:rsidRPr="005150D3" w:rsidRDefault="005150D3" w:rsidP="005150D3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 tài khoản</w:t>
            </w:r>
          </w:p>
          <w:p w:rsidR="005150D3" w:rsidRPr="005150D3" w:rsidRDefault="005150D3" w:rsidP="005150D3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Tại</w:t>
            </w:r>
          </w:p>
          <w:p w:rsidR="005150D3" w:rsidRPr="005150D3" w:rsidRDefault="005150D3" w:rsidP="005150D3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Đại diện</w:t>
            </w:r>
          </w:p>
          <w:p w:rsidR="005150D3" w:rsidRPr="005150D3" w:rsidRDefault="005150D3" w:rsidP="005150D3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7560" w:type="dxa"/>
          </w:tcPr>
          <w:p w:rsidR="005150D3" w:rsidRPr="005150D3" w:rsidRDefault="005150D3" w:rsidP="005150D3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 Tầng 17, tòa nhà ICON4, số 243A Đê La Thành, Đống Đa, Hà Nội.</w:t>
            </w:r>
          </w:p>
          <w:p w:rsidR="005150D3" w:rsidRPr="005150D3" w:rsidRDefault="005150D3" w:rsidP="005150D3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:rsidR="005150D3" w:rsidRPr="005150D3" w:rsidRDefault="005150D3" w:rsidP="005150D3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5150D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(84-4)37722722                </w:t>
            </w: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Fax : (84-4)37725942</w:t>
            </w:r>
          </w:p>
          <w:p w:rsidR="005150D3" w:rsidRPr="005150D3" w:rsidRDefault="005150D3" w:rsidP="005150D3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nl-NL"/>
              </w:rPr>
              <w:t>0103349508</w:t>
            </w:r>
          </w:p>
          <w:p w:rsidR="005150D3" w:rsidRPr="005150D3" w:rsidRDefault="005150D3" w:rsidP="005150D3">
            <w:pPr>
              <w:tabs>
                <w:tab w:val="left" w:pos="1260"/>
              </w:tabs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sv-SE"/>
              </w:rPr>
              <w:t xml:space="preserve"> </w:t>
            </w: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0137.0407.0015.003</w:t>
            </w:r>
          </w:p>
          <w:p w:rsidR="005150D3" w:rsidRPr="005150D3" w:rsidRDefault="005150D3" w:rsidP="005150D3">
            <w:pPr>
              <w:tabs>
                <w:tab w:val="left" w:pos="1260"/>
              </w:tabs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sv-SE"/>
              </w:rPr>
              <w:t xml:space="preserve"> </w:t>
            </w: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Ngân hàng HDBank - Chi nhánh Ba Đình</w:t>
            </w:r>
          </w:p>
          <w:p w:rsidR="005150D3" w:rsidRPr="005150D3" w:rsidRDefault="005150D3" w:rsidP="005150D3">
            <w:pPr>
              <w:tabs>
                <w:tab w:val="left" w:pos="1260"/>
              </w:tabs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515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Ông Nguyễn Việt Anh</w:t>
            </w:r>
          </w:p>
          <w:p w:rsidR="005150D3" w:rsidRPr="005150D3" w:rsidRDefault="005150D3" w:rsidP="005150D3">
            <w:pPr>
              <w:tabs>
                <w:tab w:val="left" w:pos="1260"/>
              </w:tabs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515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Giám đốc</w:t>
            </w:r>
          </w:p>
        </w:tc>
      </w:tr>
    </w:tbl>
    <w:p w:rsidR="009A28E4" w:rsidRDefault="009A28E4" w:rsidP="009A28E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A28E4" w:rsidRPr="005150D3" w:rsidRDefault="009A28E4" w:rsidP="009A28E4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x-none" w:eastAsia="x-non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x-none" w:eastAsia="x-none"/>
        </w:rPr>
        <w:t>Bên B</w:t>
      </w:r>
      <w:r w:rsidRPr="005150D3">
        <w:rPr>
          <w:rFonts w:ascii="Times New Roman" w:eastAsia="Times New Roman" w:hAnsi="Times New Roman" w:cs="Times New Roman"/>
          <w:b/>
          <w:bCs/>
          <w:sz w:val="26"/>
          <w:szCs w:val="26"/>
          <w:lang w:val="x-none" w:eastAsia="x-none"/>
        </w:rPr>
        <w:t xml:space="preserve">: </w:t>
      </w:r>
      <w:r w:rsidRPr="009A28E4">
        <w:rPr>
          <w:rFonts w:ascii="Times New Roman" w:eastAsia="Times New Roman" w:hAnsi="Times New Roman" w:cs="Times New Roman"/>
          <w:b/>
          <w:bCs/>
          <w:sz w:val="26"/>
          <w:szCs w:val="26"/>
          <w:lang w:val="x-none" w:eastAsia="x-none"/>
        </w:rPr>
        <w:t>CÔNG TY CỔ PHẦN CÔNG NGHỆ VÀ ĐẦU TƯ NDQ VIỆT NAM</w:t>
      </w:r>
    </w:p>
    <w:tbl>
      <w:tblPr>
        <w:tblW w:w="912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55"/>
        <w:gridCol w:w="7565"/>
      </w:tblGrid>
      <w:tr w:rsidR="009A28E4" w:rsidRPr="005150D3" w:rsidTr="002D7E44">
        <w:tc>
          <w:tcPr>
            <w:tcW w:w="1555" w:type="dxa"/>
          </w:tcPr>
          <w:p w:rsidR="009A28E4" w:rsidRPr="005150D3" w:rsidRDefault="009A28E4" w:rsidP="002D7E44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Địa chỉ </w:t>
            </w:r>
          </w:p>
          <w:p w:rsidR="009A28E4" w:rsidRPr="005150D3" w:rsidRDefault="009A28E4" w:rsidP="002D7E44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Điện thoại </w:t>
            </w:r>
          </w:p>
          <w:p w:rsidR="009A28E4" w:rsidRPr="005150D3" w:rsidRDefault="009A28E4" w:rsidP="002D7E44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 tài khoản</w:t>
            </w:r>
          </w:p>
          <w:p w:rsidR="009A28E4" w:rsidRPr="005150D3" w:rsidRDefault="009A28E4" w:rsidP="002D7E44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Tại</w:t>
            </w:r>
          </w:p>
          <w:p w:rsidR="009A28E4" w:rsidRPr="005150D3" w:rsidRDefault="009A28E4" w:rsidP="002D7E44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Đại diện</w:t>
            </w:r>
          </w:p>
          <w:p w:rsidR="009A28E4" w:rsidRPr="005150D3" w:rsidRDefault="009A28E4" w:rsidP="002D7E44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7565" w:type="dxa"/>
          </w:tcPr>
          <w:p w:rsidR="009A28E4" w:rsidRPr="005150D3" w:rsidRDefault="009A28E4" w:rsidP="002D7E44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9A28E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 12, nghách 33/15B Cát Linh – Đống Đa – Hà Nội</w:t>
            </w:r>
          </w:p>
          <w:p w:rsidR="009A28E4" w:rsidRPr="005150D3" w:rsidRDefault="009A28E4" w:rsidP="002D7E44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9A28E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844-445 00745</w:t>
            </w:r>
          </w:p>
          <w:p w:rsidR="009A28E4" w:rsidRPr="005150D3" w:rsidRDefault="009A28E4" w:rsidP="002D7E44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 w:rsidRPr="009A28E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5090000010999000</w:t>
            </w:r>
          </w:p>
          <w:p w:rsidR="009A28E4" w:rsidRPr="005150D3" w:rsidRDefault="009A28E4" w:rsidP="002D7E44">
            <w:pPr>
              <w:tabs>
                <w:tab w:val="left" w:pos="1260"/>
              </w:tabs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sv-SE"/>
              </w:rPr>
              <w:t xml:space="preserve"> </w:t>
            </w:r>
            <w:r w:rsidRPr="009A28E4">
              <w:rPr>
                <w:rFonts w:ascii="Times New Roman" w:eastAsia="Times New Roman" w:hAnsi="Times New Roman" w:cs="Times New Roman"/>
                <w:sz w:val="26"/>
                <w:szCs w:val="26"/>
                <w:lang w:val="sv-SE"/>
              </w:rPr>
              <w:t>Ngân hàng TMCP Việt Á – Chi nhánh  Hà Nội - PGD Trung Tâm</w:t>
            </w:r>
          </w:p>
          <w:p w:rsidR="009A28E4" w:rsidRPr="005150D3" w:rsidRDefault="009A28E4" w:rsidP="002D7E44">
            <w:pPr>
              <w:tabs>
                <w:tab w:val="left" w:pos="1260"/>
              </w:tabs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</w:t>
            </w: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sv-SE"/>
              </w:rPr>
              <w:t xml:space="preserve"> </w:t>
            </w:r>
            <w:r w:rsidRPr="00515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sv-SE"/>
              </w:rPr>
              <w:t xml:space="preserve">Ông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sv-SE"/>
              </w:rPr>
              <w:t>Tô Quốc Điệp</w:t>
            </w:r>
          </w:p>
          <w:p w:rsidR="009A28E4" w:rsidRPr="005150D3" w:rsidRDefault="009A28E4" w:rsidP="002D7E44">
            <w:pPr>
              <w:tabs>
                <w:tab w:val="left" w:pos="1260"/>
              </w:tabs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5150D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sv-SE"/>
              </w:rPr>
              <w:t xml:space="preserve"> Giám đốc</w:t>
            </w:r>
          </w:p>
          <w:p w:rsidR="009A28E4" w:rsidRPr="005150D3" w:rsidRDefault="009A28E4" w:rsidP="002D7E44">
            <w:pPr>
              <w:spacing w:after="0" w:line="312" w:lineRule="auto"/>
              <w:ind w:right="-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5150D3" w:rsidRDefault="005150D3" w:rsidP="00116809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  <w:r>
        <w:rPr>
          <w:rFonts w:asciiTheme="majorHAnsi" w:hAnsiTheme="majorHAnsi" w:cstheme="majorHAnsi"/>
          <w:sz w:val="26"/>
          <w:szCs w:val="26"/>
          <w:lang w:val="en-US"/>
        </w:rPr>
        <w:t>Hai bên cùng đối chiếu, thống nhất ký biên bản thanh lý Hợp đồng với những nội dung sau:</w:t>
      </w:r>
    </w:p>
    <w:p w:rsidR="005150D3" w:rsidRPr="007E3929" w:rsidRDefault="005150D3" w:rsidP="007E392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E3929">
        <w:rPr>
          <w:rFonts w:asciiTheme="majorHAnsi" w:hAnsiTheme="majorHAnsi" w:cstheme="majorHAnsi"/>
          <w:sz w:val="26"/>
          <w:szCs w:val="26"/>
          <w:lang w:val="en-US"/>
        </w:rPr>
        <w:t>Bên A đã cung cấp đầy đủ các hoạt động hợp tác đào tạo liên quan theo những quy định trong Hợp đồng đã ký.</w:t>
      </w:r>
    </w:p>
    <w:p w:rsidR="005150D3" w:rsidRPr="007E3929" w:rsidRDefault="005150D3" w:rsidP="007E392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Tổng giá trị dự toán theo Hợp đồng là: </w:t>
      </w:r>
      <w:r w:rsidR="002D5586">
        <w:rPr>
          <w:rFonts w:asciiTheme="majorHAnsi" w:hAnsiTheme="majorHAnsi" w:cstheme="majorHAnsi"/>
          <w:sz w:val="26"/>
          <w:szCs w:val="26"/>
          <w:lang w:val="en-US"/>
        </w:rPr>
        <w:t>196</w:t>
      </w:r>
      <w:r w:rsidRPr="007E3929">
        <w:rPr>
          <w:rFonts w:asciiTheme="majorHAnsi" w:hAnsiTheme="majorHAnsi" w:cstheme="majorHAnsi"/>
          <w:sz w:val="26"/>
          <w:szCs w:val="26"/>
          <w:lang w:val="en-US"/>
        </w:rPr>
        <w:t>.000.000 đồng</w:t>
      </w:r>
    </w:p>
    <w:p w:rsidR="005150D3" w:rsidRPr="007E3929" w:rsidRDefault="005150D3" w:rsidP="007E392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E3929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Tổng giá trị thanh lý theo thực tế phát sinh là: </w:t>
      </w:r>
      <w:r w:rsidR="002D5586">
        <w:rPr>
          <w:rFonts w:asciiTheme="majorHAnsi" w:hAnsiTheme="majorHAnsi" w:cstheme="majorHAnsi"/>
          <w:sz w:val="26"/>
          <w:szCs w:val="26"/>
          <w:lang w:val="en-US"/>
        </w:rPr>
        <w:t>196</w:t>
      </w:r>
      <w:r w:rsidRPr="007E3929">
        <w:rPr>
          <w:rFonts w:asciiTheme="majorHAnsi" w:hAnsiTheme="majorHAnsi" w:cstheme="majorHAnsi"/>
          <w:sz w:val="26"/>
          <w:szCs w:val="26"/>
          <w:lang w:val="en-US"/>
        </w:rPr>
        <w:t>.000.000 đồng</w:t>
      </w:r>
    </w:p>
    <w:p w:rsidR="005150D3" w:rsidRPr="00AE198B" w:rsidRDefault="005150D3" w:rsidP="007E3929">
      <w:pPr>
        <w:pStyle w:val="ListParagraph"/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 xml:space="preserve">(Bằng chữ: </w:t>
      </w:r>
      <w:r w:rsidR="002D5586" w:rsidRPr="00AE198B">
        <w:rPr>
          <w:rFonts w:asciiTheme="majorHAnsi" w:hAnsiTheme="majorHAnsi" w:cstheme="majorHAnsi"/>
          <w:i/>
          <w:sz w:val="26"/>
          <w:szCs w:val="26"/>
          <w:lang w:val="en-US"/>
        </w:rPr>
        <w:t>Một trăm chín mươi sáu</w:t>
      </w:r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 xml:space="preserve"> triệu đồng chẵn)</w:t>
      </w:r>
    </w:p>
    <w:p w:rsidR="002D5586" w:rsidRDefault="002D5586" w:rsidP="007E392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Số tiền Bên A đã tạm ứng cho Bên B: 58.800.000 đồng</w:t>
      </w:r>
    </w:p>
    <w:p w:rsidR="002D5586" w:rsidRPr="00AE198B" w:rsidRDefault="002D5586" w:rsidP="002D5586">
      <w:pPr>
        <w:pStyle w:val="ListParagraph"/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>(Bằng chữ: Năm mươi tám triệu, tám trăm nghìn đồng chẵn)</w:t>
      </w:r>
    </w:p>
    <w:p w:rsidR="005150D3" w:rsidRPr="007E3929" w:rsidRDefault="005150D3" w:rsidP="007E392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Số tiền Bên A cần thanh toán cho Bên B: </w:t>
      </w:r>
      <w:r w:rsidR="002D5586">
        <w:rPr>
          <w:rFonts w:asciiTheme="majorHAnsi" w:hAnsiTheme="majorHAnsi" w:cstheme="majorHAnsi"/>
          <w:sz w:val="26"/>
          <w:szCs w:val="26"/>
          <w:lang w:val="en-US"/>
        </w:rPr>
        <w:t>137.2</w:t>
      </w:r>
      <w:r w:rsidRPr="007E3929">
        <w:rPr>
          <w:rFonts w:asciiTheme="majorHAnsi" w:hAnsiTheme="majorHAnsi" w:cstheme="majorHAnsi"/>
          <w:sz w:val="26"/>
          <w:szCs w:val="26"/>
          <w:lang w:val="en-US"/>
        </w:rPr>
        <w:t>00.000 đồng</w:t>
      </w:r>
    </w:p>
    <w:p w:rsidR="005150D3" w:rsidRPr="00AE198B" w:rsidRDefault="005150D3" w:rsidP="007E3929">
      <w:pPr>
        <w:pStyle w:val="ListParagraph"/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 xml:space="preserve">(Bằng chữ: </w:t>
      </w:r>
      <w:r w:rsidR="00AE198B">
        <w:rPr>
          <w:rFonts w:asciiTheme="majorHAnsi" w:hAnsiTheme="majorHAnsi" w:cstheme="majorHAnsi"/>
          <w:i/>
          <w:sz w:val="26"/>
          <w:szCs w:val="26"/>
          <w:lang w:val="en-US"/>
        </w:rPr>
        <w:t>Một trăm ba mươi bảy triệu, hai trăm nghìn đồng</w:t>
      </w:r>
      <w:r w:rsidRPr="00AE198B">
        <w:rPr>
          <w:rFonts w:asciiTheme="majorHAnsi" w:hAnsiTheme="majorHAnsi" w:cstheme="majorHAnsi"/>
          <w:i/>
          <w:sz w:val="26"/>
          <w:szCs w:val="26"/>
          <w:lang w:val="en-US"/>
        </w:rPr>
        <w:t xml:space="preserve"> chẵn)</w:t>
      </w:r>
    </w:p>
    <w:p w:rsidR="005150D3" w:rsidRPr="007E3929" w:rsidRDefault="005150D3" w:rsidP="00C60189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7E3929">
        <w:rPr>
          <w:rFonts w:asciiTheme="majorHAnsi" w:hAnsiTheme="majorHAnsi" w:cstheme="majorHAnsi"/>
          <w:sz w:val="26"/>
          <w:szCs w:val="26"/>
          <w:lang w:val="en-US"/>
        </w:rPr>
        <w:t>Bên A có trách nhiệm thanh toán cho Bên B số tiền trên trong vòng 03 ngày kể từ ngày Hai bên ký biên bản thanh lý Hợp đồng này và Bên A nhận được hóa đơn tài chính hợp lệ từ Bên B.</w:t>
      </w:r>
    </w:p>
    <w:p w:rsidR="005150D3" w:rsidRPr="007E3929" w:rsidRDefault="005150D3" w:rsidP="00D63E8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Kể từ ngày Bên A thanh toán cho Bên B số tiền trên thì Hai bên đã hoàn thành các nghĩa vụ đối với Hợp đồng </w:t>
      </w:r>
      <w:r w:rsidR="007B6388">
        <w:rPr>
          <w:rFonts w:asciiTheme="majorHAnsi" w:hAnsiTheme="majorHAnsi" w:cstheme="majorHAnsi"/>
          <w:sz w:val="26"/>
          <w:szCs w:val="26"/>
          <w:lang w:val="en-US"/>
        </w:rPr>
        <w:t>kinh tế</w:t>
      </w:r>
      <w:r w:rsidRPr="007E3929">
        <w:rPr>
          <w:rFonts w:asciiTheme="majorHAnsi" w:hAnsiTheme="majorHAnsi" w:cstheme="majorHAnsi"/>
          <w:sz w:val="26"/>
          <w:szCs w:val="26"/>
          <w:lang w:val="en-US"/>
        </w:rPr>
        <w:t xml:space="preserve"> số </w:t>
      </w:r>
      <w:r w:rsidR="00D63E8A" w:rsidRPr="00D63E8A">
        <w:rPr>
          <w:rFonts w:asciiTheme="majorHAnsi" w:hAnsiTheme="majorHAnsi" w:cstheme="majorHAnsi"/>
          <w:sz w:val="26"/>
          <w:szCs w:val="26"/>
          <w:lang w:val="en-US"/>
        </w:rPr>
        <w:t>23-2015/PAIC-GPPM/MDV</w:t>
      </w:r>
      <w:r w:rsidR="005927B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5150D3" w:rsidRDefault="005150D3" w:rsidP="00C6018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Biên bản thanh lý này được lập thành 04 bản có giá trị pháp lý như nhau, mỗi bên giữ 2 bản.</w:t>
      </w:r>
    </w:p>
    <w:p w:rsidR="005150D3" w:rsidRDefault="005150D3" w:rsidP="005150D3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21"/>
        <w:gridCol w:w="4505"/>
      </w:tblGrid>
      <w:tr w:rsidR="005150D3" w:rsidRPr="005150D3" w:rsidTr="009A7988">
        <w:trPr>
          <w:trHeight w:val="945"/>
        </w:trPr>
        <w:tc>
          <w:tcPr>
            <w:tcW w:w="4833" w:type="dxa"/>
          </w:tcPr>
          <w:p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  <w:r w:rsidRPr="00515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>ĐẠI DIỆN BÊN A</w:t>
            </w:r>
          </w:p>
          <w:p w:rsidR="005150D3" w:rsidRPr="005150D3" w:rsidRDefault="003103A0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>Giám đốc</w:t>
            </w:r>
          </w:p>
          <w:p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:rsidR="005150D3" w:rsidRPr="005150D3" w:rsidRDefault="003103A0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  <w:r w:rsidRPr="00515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 xml:space="preserve">Nguyễn Việt Anh </w:t>
            </w:r>
          </w:p>
          <w:p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</w:tc>
        <w:tc>
          <w:tcPr>
            <w:tcW w:w="4833" w:type="dxa"/>
          </w:tcPr>
          <w:p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  <w:r w:rsidRPr="00515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>ĐẠI DIỆN BÊN B</w:t>
            </w:r>
          </w:p>
          <w:p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  <w:r w:rsidRPr="005150D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>Giám đốc</w:t>
            </w:r>
          </w:p>
          <w:p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:rsidR="005150D3" w:rsidRPr="005150D3" w:rsidRDefault="005150D3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</w:p>
          <w:p w:rsidR="005150D3" w:rsidRPr="005150D3" w:rsidRDefault="003103A0" w:rsidP="005150D3">
            <w:pPr>
              <w:tabs>
                <w:tab w:val="left" w:pos="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pt-BR"/>
              </w:rPr>
              <w:t>Tô Quốc Điệp</w:t>
            </w:r>
          </w:p>
        </w:tc>
      </w:tr>
    </w:tbl>
    <w:p w:rsidR="005150D3" w:rsidRPr="005150D3" w:rsidRDefault="005150D3" w:rsidP="005150D3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5150D3" w:rsidRPr="005150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87407"/>
    <w:multiLevelType w:val="hybridMultilevel"/>
    <w:tmpl w:val="25F81BD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06609"/>
    <w:multiLevelType w:val="hybridMultilevel"/>
    <w:tmpl w:val="252674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74A56"/>
    <w:multiLevelType w:val="hybridMultilevel"/>
    <w:tmpl w:val="22C2BA46"/>
    <w:lvl w:ilvl="0" w:tplc="0F42C1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D3"/>
    <w:rsid w:val="00116809"/>
    <w:rsid w:val="002D5586"/>
    <w:rsid w:val="003103A0"/>
    <w:rsid w:val="004A762E"/>
    <w:rsid w:val="005150D3"/>
    <w:rsid w:val="005927B0"/>
    <w:rsid w:val="005C14CD"/>
    <w:rsid w:val="005F57AD"/>
    <w:rsid w:val="00702E03"/>
    <w:rsid w:val="007B6388"/>
    <w:rsid w:val="007D4555"/>
    <w:rsid w:val="007E3929"/>
    <w:rsid w:val="009A28E4"/>
    <w:rsid w:val="009E3309"/>
    <w:rsid w:val="00AE198B"/>
    <w:rsid w:val="00C37E53"/>
    <w:rsid w:val="00C60189"/>
    <w:rsid w:val="00D6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587A4-2DB2-4224-A203-C234E6F8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14</cp:revision>
  <dcterms:created xsi:type="dcterms:W3CDTF">2014-12-27T06:29:00Z</dcterms:created>
  <dcterms:modified xsi:type="dcterms:W3CDTF">2015-06-04T03:41:00Z</dcterms:modified>
</cp:coreProperties>
</file>