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80" w:lineRule="atLeast"/>
        <w:ind w:left="-178" w:leftChars="-85"/>
        <w:jc w:val="center"/>
        <w:rPr>
          <w:rFonts w:hint="eastAsia" w:ascii="方正小标宋_GBK" w:eastAsia="方正小标宋_GBK"/>
          <w:color w:val="FF0000"/>
          <w:spacing w:val="-34"/>
          <w:w w:val="50"/>
          <w:sz w:val="140"/>
          <w:szCs w:val="140"/>
        </w:rPr>
      </w:pPr>
      <w:r>
        <w:rPr>
          <w:rFonts w:hint="eastAsia" w:ascii="方正小标宋_GBK" w:eastAsia="方正小标宋_GBK"/>
          <w:color w:val="FF0000"/>
          <w:spacing w:val="-34"/>
          <w:w w:val="50"/>
          <w:sz w:val="140"/>
          <w:szCs w:val="140"/>
        </w:rPr>
        <w:t>青岛市住房公积金管理中心文件</w:t>
      </w:r>
    </w:p>
    <w:p>
      <w:pPr>
        <w:spacing w:line="440" w:lineRule="exact"/>
        <w:jc w:val="center"/>
        <w:rPr>
          <w:rFonts w:hint="eastAsia" w:ascii="仿宋_GB2312" w:eastAsia="仿宋_GB2312"/>
          <w:sz w:val="32"/>
        </w:rPr>
      </w:pPr>
    </w:p>
    <w:p>
      <w:pPr>
        <w:jc w:val="center"/>
        <w:rPr>
          <w:rFonts w:hint="eastAsia" w:ascii="仿宋_GB2312" w:hAnsi="宋体" w:eastAsia="仿宋_GB2312"/>
          <w:sz w:val="32"/>
          <w:szCs w:val="32"/>
        </w:rPr>
      </w:pPr>
      <w:r>
        <w:rPr>
          <w:rFonts w:hint="eastAsia" w:ascii="仿宋_GB2312" w:hAnsi="宋体" w:eastAsia="仿宋_GB2312"/>
          <w:sz w:val="32"/>
          <w:szCs w:val="32"/>
        </w:rPr>
        <w:t>青住金字〔20</w:t>
      </w:r>
      <w:r>
        <w:rPr>
          <w:rFonts w:ascii="仿宋_GB2312" w:hAnsi="宋体" w:eastAsia="仿宋_GB2312"/>
          <w:sz w:val="32"/>
          <w:szCs w:val="32"/>
        </w:rPr>
        <w:t>2</w:t>
      </w:r>
      <w:r>
        <w:rPr>
          <w:rFonts w:hint="eastAsia" w:ascii="仿宋_GB2312" w:hAnsi="宋体" w:eastAsia="仿宋_GB2312"/>
          <w:sz w:val="32"/>
          <w:szCs w:val="32"/>
        </w:rPr>
        <w:t>2〕80号</w:t>
      </w:r>
    </w:p>
    <w:p>
      <w:pPr>
        <w:spacing w:line="440" w:lineRule="exact"/>
        <w:ind w:left="-178" w:leftChars="-85" w:right="-69" w:rightChars="-33"/>
        <w:jc w:val="center"/>
        <w:rPr>
          <w:rFonts w:hint="eastAsia" w:ascii="仿宋_GB2312"/>
          <w:b/>
          <w:color w:val="FF0000"/>
          <w:sz w:val="44"/>
        </w:rPr>
      </w:pPr>
      <w:r>
        <w:rPr>
          <w:rFonts w:hint="eastAsia" w:ascii="仿宋_GB2312"/>
          <w:b/>
          <w:color w:val="FF0000"/>
          <w:sz w:val="44"/>
        </w:rPr>
        <w:t>───────────────────</w:t>
      </w:r>
    </w:p>
    <w:p>
      <w:pPr>
        <w:spacing w:line="560" w:lineRule="exact"/>
        <w:jc w:val="center"/>
        <w:rPr>
          <w:rFonts w:hint="eastAsia" w:ascii="方正小标宋_GBK" w:eastAsia="方正小标宋_GBK" w:cs="方正小标宋_GBK"/>
          <w:sz w:val="44"/>
          <w:szCs w:val="44"/>
        </w:rPr>
      </w:pPr>
    </w:p>
    <w:p>
      <w:pPr>
        <w:spacing w:line="560" w:lineRule="exact"/>
        <w:jc w:val="center"/>
        <w:rPr>
          <w:rFonts w:hint="eastAsia" w:ascii="方正小标宋_GBK" w:eastAsia="方正小标宋_GBK" w:cs="方正小标宋_GBK"/>
          <w:sz w:val="44"/>
          <w:szCs w:val="44"/>
        </w:rPr>
      </w:pPr>
      <w:r>
        <w:rPr>
          <w:rFonts w:hint="eastAsia" w:ascii="方正小标宋_GBK" w:eastAsia="方正小标宋_GBK" w:cs="方正小标宋_GBK"/>
          <w:sz w:val="44"/>
          <w:szCs w:val="44"/>
        </w:rPr>
        <w:t>青岛市住房公积金管理中心</w:t>
      </w:r>
    </w:p>
    <w:p>
      <w:pPr>
        <w:spacing w:line="560" w:lineRule="exact"/>
        <w:jc w:val="center"/>
        <w:rPr>
          <w:rFonts w:hint="eastAsia" w:ascii="方正小标宋_GBK" w:hAnsi="黑体" w:eastAsia="方正小标宋_GBK"/>
          <w:bCs/>
          <w:color w:val="000000"/>
          <w:sz w:val="44"/>
          <w:szCs w:val="44"/>
        </w:rPr>
      </w:pPr>
      <w:r>
        <w:rPr>
          <w:rFonts w:hint="eastAsia" w:ascii="方正小标宋_GBK" w:eastAsia="方正小标宋_GBK" w:cs="方正小标宋_GBK"/>
          <w:sz w:val="44"/>
          <w:szCs w:val="44"/>
        </w:rPr>
        <w:t>关于印发《</w:t>
      </w:r>
      <w:r>
        <w:rPr>
          <w:rFonts w:hint="eastAsia" w:ascii="方正小标宋_GBK" w:hAnsi="黑体" w:eastAsia="方正小标宋_GBK"/>
          <w:bCs/>
          <w:color w:val="000000"/>
          <w:sz w:val="44"/>
          <w:szCs w:val="44"/>
        </w:rPr>
        <w:t>青岛市商业性住房贷款转</w:t>
      </w:r>
    </w:p>
    <w:p>
      <w:pPr>
        <w:spacing w:line="560" w:lineRule="exact"/>
        <w:jc w:val="center"/>
        <w:rPr>
          <w:rFonts w:ascii="方正小标宋_GBK" w:hAnsi="黑体" w:eastAsia="方正小标宋_GBK"/>
          <w:bCs/>
          <w:color w:val="000000"/>
          <w:sz w:val="44"/>
          <w:szCs w:val="44"/>
        </w:rPr>
      </w:pPr>
      <w:r>
        <w:rPr>
          <w:rFonts w:hint="eastAsia" w:ascii="方正小标宋_GBK" w:hAnsi="黑体" w:eastAsia="方正小标宋_GBK"/>
          <w:bCs/>
          <w:color w:val="000000"/>
          <w:sz w:val="44"/>
          <w:szCs w:val="44"/>
        </w:rPr>
        <w:t>个人住房公积金贷款管理暂行办法</w:t>
      </w:r>
      <w:r>
        <w:rPr>
          <w:rFonts w:hint="eastAsia" w:ascii="方正小标宋_GBK" w:eastAsia="方正小标宋_GBK" w:cs="方正小标宋_GBK"/>
          <w:sz w:val="44"/>
          <w:szCs w:val="44"/>
        </w:rPr>
        <w:t>》的通知</w:t>
      </w:r>
    </w:p>
    <w:p>
      <w:pPr>
        <w:spacing w:line="560" w:lineRule="exact"/>
        <w:rPr>
          <w:rFonts w:ascii="方正小标宋_GBK" w:eastAsia="方正小标宋_GBK"/>
          <w:sz w:val="28"/>
          <w:szCs w:val="28"/>
        </w:rPr>
      </w:pPr>
    </w:p>
    <w:p>
      <w:pPr>
        <w:spacing w:line="560" w:lineRule="exact"/>
        <w:rPr>
          <w:rFonts w:ascii="仿宋_GB2312" w:eastAsia="仿宋_GB2312"/>
          <w:sz w:val="32"/>
          <w:szCs w:val="32"/>
        </w:rPr>
      </w:pPr>
      <w:r>
        <w:rPr>
          <w:rFonts w:hint="eastAsia" w:ascii="仿宋_GB2312" w:eastAsia="仿宋_GB2312"/>
          <w:sz w:val="32"/>
          <w:szCs w:val="32"/>
        </w:rPr>
        <w:t>各处、室：</w:t>
      </w:r>
    </w:p>
    <w:p>
      <w:pPr>
        <w:spacing w:line="560" w:lineRule="exact"/>
        <w:ind w:firstLine="645"/>
        <w:rPr>
          <w:rFonts w:ascii="仿宋_GB2312" w:eastAsia="仿宋_GB2312"/>
          <w:sz w:val="32"/>
          <w:szCs w:val="32"/>
        </w:rPr>
      </w:pPr>
      <w:r>
        <w:rPr>
          <w:rFonts w:hint="eastAsia" w:ascii="仿宋_GB2312" w:eastAsia="仿宋_GB2312"/>
          <w:sz w:val="32"/>
          <w:szCs w:val="32"/>
        </w:rPr>
        <w:t>《青岛市商业性住房贷款转个人住房公积金贷款管理暂行办法》已经青岛市住房公积金管理委员会2022年第四次会议审议通过，现印发给你们，请遵照执行。</w:t>
      </w:r>
    </w:p>
    <w:p>
      <w:pPr>
        <w:spacing w:line="560" w:lineRule="exact"/>
        <w:rPr>
          <w:rFonts w:ascii="仿宋_GB2312" w:eastAsia="仿宋_GB2312"/>
          <w:sz w:val="32"/>
          <w:szCs w:val="32"/>
        </w:rPr>
      </w:pPr>
    </w:p>
    <w:p>
      <w:pPr>
        <w:spacing w:line="560" w:lineRule="exact"/>
        <w:jc w:val="center"/>
        <w:rPr>
          <w:rFonts w:ascii="仿宋_GB2312" w:eastAsia="仿宋_GB2312"/>
          <w:sz w:val="32"/>
          <w:szCs w:val="32"/>
        </w:rPr>
      </w:pPr>
      <w:r>
        <w:rPr>
          <w:rFonts w:hint="eastAsia" w:ascii="仿宋_GB2312" w:eastAsia="仿宋_GB2312"/>
          <w:sz w:val="32"/>
          <w:szCs w:val="32"/>
        </w:rPr>
        <w:t xml:space="preserve">                       青岛市住房公积金管理中心    </w:t>
      </w:r>
    </w:p>
    <w:p>
      <w:pPr>
        <w:spacing w:line="560" w:lineRule="exact"/>
        <w:ind w:firstLine="5120" w:firstLineChars="1600"/>
        <w:textAlignment w:val="baseline"/>
        <w:rPr>
          <w:rFonts w:ascii="仿宋_GB2312" w:hAnsi="仿宋_GB2312" w:eastAsia="仿宋_GB2312"/>
          <w:sz w:val="32"/>
          <w:szCs w:val="32"/>
        </w:rPr>
      </w:pPr>
      <w:r>
        <w:rPr>
          <w:rFonts w:hint="eastAsia" w:ascii="仿宋_GB2312" w:hAnsi="仿宋_GB2312" w:eastAsia="仿宋_GB2312" w:cs="仿宋_GB2312"/>
          <w:sz w:val="32"/>
          <w:szCs w:val="32"/>
        </w:rPr>
        <w:t>2022年12月2</w:t>
      </w:r>
      <w:r>
        <w:rPr>
          <w:rFonts w:hint="eastAsia" w:ascii="仿宋_GB2312" w:eastAsia="仿宋_GB2312"/>
          <w:sz w:val="32"/>
          <w:szCs w:val="32"/>
        </w:rPr>
        <w:t>日</w:t>
      </w:r>
    </w:p>
    <w:p>
      <w:pPr>
        <w:spacing w:line="560" w:lineRule="exact"/>
        <w:jc w:val="center"/>
        <w:rPr>
          <w:rFonts w:hint="eastAsia" w:ascii="方正小标宋_GBK" w:hAnsi="方正小标宋_GBK" w:eastAsia="方正小标宋_GBK" w:cs="方正小标宋_GBK"/>
          <w:sz w:val="44"/>
          <w:szCs w:val="44"/>
        </w:rPr>
      </w:pPr>
    </w:p>
    <w:p>
      <w:pPr>
        <w:spacing w:line="560" w:lineRule="exact"/>
        <w:jc w:val="center"/>
        <w:rPr>
          <w:rFonts w:hint="eastAsia" w:ascii="方正小标宋_GBK" w:hAnsi="方正小标宋_GBK" w:eastAsia="方正小标宋_GBK" w:cs="方正小标宋_GBK"/>
          <w:sz w:val="44"/>
          <w:szCs w:val="44"/>
        </w:rPr>
      </w:pPr>
    </w:p>
    <w:p>
      <w:pPr>
        <w:spacing w:line="560" w:lineRule="exact"/>
        <w:jc w:val="center"/>
        <w:rPr>
          <w:rFonts w:hint="eastAsia" w:ascii="方正小标宋_GBK" w:hAnsi="方正小标宋_GBK" w:eastAsia="方正小标宋_GBK" w:cs="方正小标宋_GBK"/>
          <w:sz w:val="44"/>
          <w:szCs w:val="44"/>
        </w:rPr>
      </w:pPr>
    </w:p>
    <w:p>
      <w:pPr>
        <w:spacing w:line="560" w:lineRule="exact"/>
        <w:jc w:val="center"/>
        <w:rPr>
          <w:rFonts w:ascii="方正小标宋_GBK" w:hAnsi="方正小标宋_GBK" w:eastAsia="方正小标宋_GBK" w:cs="方正小标宋_GBK"/>
          <w:sz w:val="44"/>
          <w:szCs w:val="44"/>
        </w:rPr>
      </w:pPr>
    </w:p>
    <w:p>
      <w:pPr>
        <w:spacing w:line="560" w:lineRule="exact"/>
        <w:jc w:val="center"/>
        <w:rPr>
          <w:rFonts w:hint="eastAsia" w:ascii="方正小标宋_GBK" w:hAnsi="方正小标宋_GBK" w:eastAsia="方正小标宋_GBK" w:cs="方正小标宋_GBK"/>
          <w:sz w:val="44"/>
          <w:szCs w:val="44"/>
        </w:rPr>
      </w:pPr>
      <w:r>
        <w:rPr>
          <w:rFonts w:hint="eastAsia" w:ascii="方正小标宋_GBK" w:hAnsi="方正小标宋_GBK" w:eastAsia="方正小标宋_GBK" w:cs="方正小标宋_GBK"/>
          <w:sz w:val="44"/>
          <w:szCs w:val="44"/>
        </w:rPr>
        <w:t>青岛市商业性住房贷款转</w:t>
      </w:r>
    </w:p>
    <w:p>
      <w:pPr>
        <w:spacing w:line="560" w:lineRule="exact"/>
        <w:jc w:val="center"/>
        <w:rPr>
          <w:rFonts w:ascii="方正小标宋_GBK" w:hAnsi="方正小标宋_GBK" w:eastAsia="方正小标宋_GBK" w:cs="方正小标宋_GBK"/>
          <w:sz w:val="44"/>
          <w:szCs w:val="44"/>
        </w:rPr>
      </w:pPr>
      <w:r>
        <w:rPr>
          <w:rFonts w:hint="eastAsia" w:ascii="方正小标宋_GBK" w:hAnsi="方正小标宋_GBK" w:eastAsia="方正小标宋_GBK" w:cs="方正小标宋_GBK"/>
          <w:sz w:val="44"/>
          <w:szCs w:val="44"/>
        </w:rPr>
        <w:t>个人住房公积金贷款管理暂行办法</w:t>
      </w:r>
    </w:p>
    <w:p>
      <w:pPr>
        <w:spacing w:line="560" w:lineRule="exact"/>
        <w:jc w:val="center"/>
        <w:rPr>
          <w:rFonts w:ascii="黑体" w:hAnsi="黑体" w:eastAsia="黑体" w:cs="黑体"/>
          <w:sz w:val="32"/>
          <w:szCs w:val="32"/>
        </w:rPr>
      </w:pPr>
    </w:p>
    <w:p>
      <w:pPr>
        <w:spacing w:line="560" w:lineRule="exact"/>
        <w:jc w:val="center"/>
        <w:rPr>
          <w:rFonts w:ascii="方正小标宋_GBK" w:hAnsi="方正小标宋_GBK" w:eastAsia="方正小标宋_GBK" w:cs="方正小标宋_GBK"/>
          <w:sz w:val="32"/>
          <w:szCs w:val="32"/>
        </w:rPr>
      </w:pPr>
      <w:r>
        <w:rPr>
          <w:rFonts w:hint="eastAsia" w:ascii="方正小标宋_GBK" w:hAnsi="方正小标宋_GBK" w:eastAsia="方正小标宋_GBK" w:cs="方正小标宋_GBK"/>
          <w:sz w:val="32"/>
          <w:szCs w:val="32"/>
        </w:rPr>
        <w:t>第一章  总　　则</w:t>
      </w:r>
    </w:p>
    <w:p>
      <w:pPr>
        <w:pStyle w:val="2"/>
        <w:spacing w:line="560" w:lineRule="exact"/>
      </w:pPr>
    </w:p>
    <w:p>
      <w:pPr>
        <w:spacing w:line="560" w:lineRule="exact"/>
        <w:ind w:firstLine="640" w:firstLineChars="200"/>
        <w:rPr>
          <w:rFonts w:ascii="仿宋_GB2312" w:hAnsi="仿宋_GB2312" w:eastAsia="仿宋_GB2312" w:cs="仿宋_GB2312"/>
          <w:sz w:val="32"/>
          <w:szCs w:val="32"/>
        </w:rPr>
      </w:pPr>
      <w:r>
        <w:rPr>
          <w:rFonts w:hint="eastAsia" w:ascii="黑体" w:hAnsi="黑体" w:eastAsia="黑体" w:cs="黑体"/>
          <w:sz w:val="32"/>
          <w:szCs w:val="32"/>
        </w:rPr>
        <w:t xml:space="preserve">第一条 </w:t>
      </w:r>
      <w:r>
        <w:rPr>
          <w:rFonts w:hint="eastAsia" w:ascii="仿宋_GB2312" w:hAnsi="仿宋_GB2312" w:eastAsia="仿宋_GB2312" w:cs="仿宋_GB2312"/>
          <w:sz w:val="32"/>
          <w:szCs w:val="32"/>
        </w:rPr>
        <w:t xml:space="preserve"> 为满足职工商业性住房贷款转个人住房公积金贷款（以下简称商转公贷款）的需要，并规范我市商转公贷款业务管理，青岛市住房公积金管理中心（以下简称市住房公积金管理中心）根据国务院《住房公积金管理条例》《青岛市个人住房公积金贷款管理办法》《青岛市住房公积金管理中心关于明确个人住房公积金贷款有关事项的通知》等相关规定，结合我市实际，制定本办法。</w:t>
      </w:r>
    </w:p>
    <w:p>
      <w:pPr>
        <w:spacing w:line="560" w:lineRule="exact"/>
        <w:ind w:firstLine="640" w:firstLineChars="200"/>
        <w:rPr>
          <w:rFonts w:ascii="仿宋_GB2312" w:hAnsi="仿宋_GB2312" w:eastAsia="仿宋_GB2312" w:cs="仿宋_GB2312"/>
          <w:sz w:val="32"/>
          <w:szCs w:val="32"/>
        </w:rPr>
      </w:pPr>
      <w:r>
        <w:rPr>
          <w:rFonts w:hint="eastAsia" w:ascii="黑体" w:hAnsi="黑体" w:eastAsia="黑体" w:cs="黑体"/>
          <w:sz w:val="32"/>
          <w:szCs w:val="32"/>
        </w:rPr>
        <w:t>第二条</w:t>
      </w:r>
      <w:r>
        <w:rPr>
          <w:rFonts w:hint="eastAsia" w:ascii="仿宋_GB2312" w:hAnsi="仿宋_GB2312" w:eastAsia="仿宋_GB2312" w:cs="仿宋_GB2312"/>
          <w:sz w:val="32"/>
          <w:szCs w:val="32"/>
        </w:rPr>
        <w:t xml:space="preserve">  本办法所称商转公贷款是指我市住房公积金缴存职工，将本人已办理且尚未结清的我市商业性住房贷款（以下简称原商业贷款），经原商业贷款银行同意后，转为个人住房公积金贷款（以下简称公积金贷款）。</w:t>
      </w:r>
    </w:p>
    <w:p>
      <w:pPr>
        <w:spacing w:line="560" w:lineRule="exact"/>
        <w:ind w:firstLine="640" w:firstLineChars="200"/>
        <w:rPr>
          <w:rFonts w:ascii="仿宋_GB2312" w:hAnsi="仿宋_GB2312" w:eastAsia="仿宋_GB2312" w:cs="仿宋_GB2312"/>
          <w:sz w:val="32"/>
          <w:szCs w:val="32"/>
        </w:rPr>
      </w:pPr>
      <w:r>
        <w:rPr>
          <w:rFonts w:hint="eastAsia" w:ascii="黑体" w:hAnsi="黑体" w:eastAsia="黑体" w:cs="黑体"/>
          <w:sz w:val="32"/>
          <w:szCs w:val="32"/>
        </w:rPr>
        <w:t>第三条</w:t>
      </w:r>
      <w:r>
        <w:rPr>
          <w:rFonts w:hint="eastAsia" w:ascii="仿宋_GB2312" w:hAnsi="仿宋_GB2312" w:eastAsia="仿宋_GB2312" w:cs="仿宋_GB2312"/>
          <w:sz w:val="32"/>
          <w:szCs w:val="32"/>
        </w:rPr>
        <w:t xml:space="preserve">  商转公贷款只能申请转为纯公积金贷款，组合贷款中的原商业贷款不能申请办理商转公贷款。借款申请人需同意并配合原商业贷款银行将住房公积金贷款资金与自有资金一并提前结清原商业贷款余额。</w:t>
      </w:r>
    </w:p>
    <w:p>
      <w:pPr>
        <w:spacing w:line="560" w:lineRule="exact"/>
        <w:ind w:firstLine="640" w:firstLineChars="200"/>
        <w:rPr>
          <w:rFonts w:ascii="仿宋_GB2312" w:hAnsi="仿宋_GB2312" w:eastAsia="仿宋_GB2312" w:cs="仿宋_GB2312"/>
          <w:sz w:val="32"/>
          <w:szCs w:val="32"/>
        </w:rPr>
      </w:pPr>
      <w:r>
        <w:rPr>
          <w:rFonts w:hint="eastAsia" w:ascii="黑体" w:hAnsi="黑体" w:eastAsia="黑体" w:cs="黑体"/>
          <w:sz w:val="32"/>
          <w:szCs w:val="32"/>
        </w:rPr>
        <w:t>第四条</w:t>
      </w:r>
      <w:r>
        <w:rPr>
          <w:rFonts w:hint="eastAsia" w:ascii="仿宋_GB2312" w:hAnsi="仿宋_GB2312" w:eastAsia="仿宋_GB2312" w:cs="仿宋_GB2312"/>
          <w:sz w:val="32"/>
          <w:szCs w:val="32"/>
        </w:rPr>
        <w:t xml:space="preserve">  商转公贷款的原商业贷款银行应为我市行政区域内的商转公贷款业务合作行，已经与市住房公积金管理中心签订商转公贷款业务合作协议。</w:t>
      </w:r>
    </w:p>
    <w:p>
      <w:pPr>
        <w:spacing w:line="560" w:lineRule="exact"/>
        <w:ind w:firstLine="640" w:firstLineChars="200"/>
        <w:rPr>
          <w:rFonts w:ascii="仿宋_GB2312" w:hAnsi="仿宋_GB2312" w:eastAsia="仿宋_GB2312" w:cs="仿宋_GB2312"/>
          <w:sz w:val="32"/>
          <w:szCs w:val="32"/>
        </w:rPr>
      </w:pPr>
      <w:r>
        <w:rPr>
          <w:rFonts w:hint="eastAsia" w:ascii="黑体" w:hAnsi="黑体" w:eastAsia="黑体" w:cs="黑体"/>
          <w:sz w:val="32"/>
          <w:szCs w:val="32"/>
        </w:rPr>
        <w:t>第五条</w:t>
      </w:r>
      <w:r>
        <w:rPr>
          <w:rFonts w:hint="eastAsia" w:ascii="仿宋_GB2312" w:hAnsi="仿宋_GB2312" w:eastAsia="仿宋_GB2312" w:cs="仿宋_GB2312"/>
          <w:sz w:val="32"/>
          <w:szCs w:val="32"/>
        </w:rPr>
        <w:t xml:space="preserve">  本办法适用于青岛市行政区域内的商转公贷款业务，市住房公积金管理中心负责全市商转公贷款业务的管理。</w:t>
      </w:r>
    </w:p>
    <w:p>
      <w:pPr>
        <w:spacing w:line="560" w:lineRule="exact"/>
        <w:ind w:firstLine="640" w:firstLineChars="200"/>
        <w:jc w:val="center"/>
        <w:rPr>
          <w:rFonts w:ascii="仿宋_GB2312" w:hAnsi="仿宋_GB2312" w:eastAsia="仿宋_GB2312" w:cs="仿宋_GB2312"/>
          <w:sz w:val="32"/>
          <w:szCs w:val="32"/>
        </w:rPr>
      </w:pPr>
    </w:p>
    <w:p>
      <w:pPr>
        <w:spacing w:line="560" w:lineRule="exact"/>
        <w:jc w:val="center"/>
        <w:rPr>
          <w:rFonts w:ascii="黑体" w:hAnsi="黑体" w:eastAsia="黑体" w:cs="黑体"/>
          <w:sz w:val="32"/>
          <w:szCs w:val="32"/>
        </w:rPr>
      </w:pPr>
      <w:r>
        <w:rPr>
          <w:rFonts w:hint="eastAsia" w:ascii="方正小标宋_GBK" w:hAnsi="方正小标宋_GBK" w:eastAsia="方正小标宋_GBK" w:cs="方正小标宋_GBK"/>
          <w:sz w:val="32"/>
          <w:szCs w:val="32"/>
        </w:rPr>
        <w:t>第二章  贷款对象和条件</w:t>
      </w:r>
    </w:p>
    <w:p>
      <w:pPr>
        <w:pStyle w:val="2"/>
        <w:spacing w:line="560" w:lineRule="exact"/>
      </w:pPr>
    </w:p>
    <w:p>
      <w:pPr>
        <w:spacing w:line="560" w:lineRule="exact"/>
        <w:ind w:firstLine="640" w:firstLineChars="200"/>
        <w:rPr>
          <w:rFonts w:ascii="仿宋_GB2312" w:hAnsi="仿宋_GB2312" w:eastAsia="仿宋_GB2312" w:cs="仿宋_GB2312"/>
          <w:sz w:val="32"/>
          <w:szCs w:val="32"/>
        </w:rPr>
      </w:pPr>
      <w:r>
        <w:rPr>
          <w:rFonts w:hint="eastAsia" w:ascii="黑体" w:hAnsi="黑体" w:eastAsia="黑体" w:cs="黑体"/>
          <w:sz w:val="32"/>
          <w:szCs w:val="32"/>
        </w:rPr>
        <w:t>第六条</w:t>
      </w:r>
      <w:r>
        <w:rPr>
          <w:rFonts w:hint="eastAsia" w:ascii="仿宋_GB2312" w:hAnsi="仿宋_GB2312" w:eastAsia="仿宋_GB2312" w:cs="仿宋_GB2312"/>
          <w:sz w:val="32"/>
          <w:szCs w:val="32"/>
        </w:rPr>
        <w:t xml:space="preserve">  商转公贷款的借款申请人应符合《青岛市个人住房公积金贷款管理办法》《青岛市住房公积金管理中心关于明确个人住房公积金贷款有关事项的通知》等政策规定的贷款条件。</w:t>
      </w:r>
    </w:p>
    <w:p>
      <w:pPr>
        <w:spacing w:line="560" w:lineRule="exact"/>
        <w:ind w:firstLine="640" w:firstLineChars="200"/>
        <w:rPr>
          <w:rFonts w:ascii="仿宋_GB2312" w:hAnsi="仿宋_GB2312" w:eastAsia="仿宋_GB2312" w:cs="仿宋_GB2312"/>
          <w:sz w:val="32"/>
          <w:szCs w:val="32"/>
        </w:rPr>
      </w:pPr>
      <w:r>
        <w:rPr>
          <w:rFonts w:hint="eastAsia" w:ascii="黑体" w:hAnsi="黑体" w:eastAsia="黑体" w:cs="黑体"/>
          <w:sz w:val="32"/>
          <w:szCs w:val="32"/>
        </w:rPr>
        <w:t>第七条</w:t>
      </w:r>
      <w:r>
        <w:rPr>
          <w:rFonts w:hint="eastAsia" w:ascii="仿宋_GB2312" w:hAnsi="仿宋_GB2312" w:eastAsia="仿宋_GB2312" w:cs="仿宋_GB2312"/>
          <w:sz w:val="32"/>
          <w:szCs w:val="32"/>
        </w:rPr>
        <w:t xml:space="preserve">  借款申请人除应符合第六条的规定外，还需满足以下条件：</w:t>
      </w:r>
    </w:p>
    <w:p>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（一）借款申请人应为具有完全民事行为能力的自然人，是原商业贷款的主借款人及所购住房的产权人，在市住房公积金管理中心正常缴存住房公积金；</w:t>
      </w:r>
    </w:p>
    <w:p>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（二）原商业贷款所购住房须为当前借款申请人家庭（包括借款申请人、配偶及未成年子女）在我市行政区域内唯一自住住房，且为新建商品房，现已办妥不动产权证；</w:t>
      </w:r>
    </w:p>
    <w:p>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（三）借款申请人申请商转公贷款时已连续正常足额缴存住房公积金6个月（含）以上；</w:t>
      </w:r>
    </w:p>
    <w:p>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（四）借款申请人在原商业贷款发放时，已符合当时公积金贷款政策规定的缴存标准；</w:t>
      </w:r>
    </w:p>
    <w:p>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（五）借款申请人家庭在全国范围内须无公积金贷款记录；</w:t>
      </w:r>
    </w:p>
    <w:p>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（六）借款申请人原商业贷款为2017年1月1日（含）至2021年12月31日（含）期间发放，且合同约定利率为上浮利率；</w:t>
      </w:r>
    </w:p>
    <w:p>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（七）借款申请人有稳定的职业和收入，信用良好，有按规定偿还贷款本息的能力，原商业贷款在近12个月（含）按期偿还贷款本息，已达到原商业贷款银行提前结清的最低时限要求；</w:t>
      </w:r>
    </w:p>
    <w:p>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（八）借款申请人及产权共有人同意办理市住房公积金管理中心认可的贷款担保及相关手续。</w:t>
      </w:r>
    </w:p>
    <w:p>
      <w:pPr>
        <w:spacing w:line="560" w:lineRule="exact"/>
        <w:ind w:firstLine="640" w:firstLineChars="200"/>
        <w:jc w:val="center"/>
        <w:rPr>
          <w:rFonts w:ascii="仿宋_GB2312" w:hAnsi="仿宋_GB2312" w:eastAsia="仿宋_GB2312" w:cs="仿宋_GB2312"/>
          <w:sz w:val="32"/>
          <w:szCs w:val="32"/>
        </w:rPr>
      </w:pPr>
    </w:p>
    <w:p>
      <w:pPr>
        <w:spacing w:line="560" w:lineRule="exact"/>
        <w:jc w:val="center"/>
        <w:rPr>
          <w:rFonts w:ascii="方正小标宋_GBK" w:hAnsi="方正小标宋_GBK" w:eastAsia="方正小标宋_GBK" w:cs="方正小标宋_GBK"/>
          <w:sz w:val="32"/>
          <w:szCs w:val="32"/>
        </w:rPr>
      </w:pPr>
      <w:r>
        <w:rPr>
          <w:rFonts w:hint="eastAsia" w:ascii="方正小标宋_GBK" w:hAnsi="方正小标宋_GBK" w:eastAsia="方正小标宋_GBK" w:cs="方正小标宋_GBK"/>
          <w:sz w:val="32"/>
          <w:szCs w:val="32"/>
        </w:rPr>
        <w:t>第三章  贷款额度、期限和利率</w:t>
      </w:r>
    </w:p>
    <w:p>
      <w:pPr>
        <w:pStyle w:val="2"/>
        <w:spacing w:line="560" w:lineRule="exact"/>
      </w:pPr>
    </w:p>
    <w:p>
      <w:pPr>
        <w:spacing w:line="560" w:lineRule="exact"/>
        <w:ind w:firstLine="640" w:firstLineChars="200"/>
        <w:rPr>
          <w:rFonts w:ascii="仿宋_GB2312" w:hAnsi="仿宋_GB2312" w:eastAsia="仿宋_GB2312" w:cs="仿宋_GB2312"/>
          <w:sz w:val="32"/>
          <w:szCs w:val="32"/>
        </w:rPr>
      </w:pPr>
      <w:r>
        <w:rPr>
          <w:rFonts w:hint="eastAsia" w:ascii="黑体" w:hAnsi="黑体" w:eastAsia="黑体" w:cs="黑体"/>
          <w:sz w:val="32"/>
          <w:szCs w:val="32"/>
        </w:rPr>
        <w:t>第八条</w:t>
      </w:r>
      <w:r>
        <w:rPr>
          <w:rFonts w:hint="eastAsia" w:ascii="仿宋_GB2312" w:hAnsi="仿宋_GB2312" w:eastAsia="仿宋_GB2312" w:cs="仿宋_GB2312"/>
          <w:sz w:val="32"/>
          <w:szCs w:val="32"/>
        </w:rPr>
        <w:t xml:space="preserve">  商转公贷款额度不超过原商业贷款剩余本金，且不超过所购房屋当前评估价值的70%。</w:t>
      </w:r>
    </w:p>
    <w:p>
      <w:pPr>
        <w:spacing w:line="560" w:lineRule="exact"/>
        <w:ind w:firstLine="640" w:firstLineChars="200"/>
        <w:rPr>
          <w:rFonts w:ascii="仿宋_GB2312" w:hAnsi="仿宋_GB2312" w:eastAsia="仿宋_GB2312" w:cs="仿宋_GB2312"/>
          <w:sz w:val="32"/>
          <w:szCs w:val="32"/>
        </w:rPr>
      </w:pPr>
      <w:r>
        <w:rPr>
          <w:rFonts w:hint="eastAsia" w:ascii="黑体" w:hAnsi="黑体" w:eastAsia="黑体" w:cs="黑体"/>
          <w:sz w:val="32"/>
          <w:szCs w:val="32"/>
        </w:rPr>
        <w:t>第九条</w:t>
      </w:r>
      <w:r>
        <w:rPr>
          <w:rFonts w:hint="eastAsia" w:ascii="仿宋_GB2312" w:hAnsi="仿宋_GB2312" w:eastAsia="仿宋_GB2312" w:cs="仿宋_GB2312"/>
          <w:sz w:val="32"/>
          <w:szCs w:val="32"/>
        </w:rPr>
        <w:t xml:space="preserve">  商转公贷款额度以1万元为起点，按5000元的整数倍确定，除应符合第八条的规定外，不高于以下计算结果和规定的最低值（借款申请人及配偶均符合本办法规定的贷款条件的，贷款额度可合并计算）：</w:t>
      </w:r>
    </w:p>
    <w:p>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（一）借款申请人申请商转公贷款时，按还贷能力计算的贷款额度；</w:t>
      </w:r>
    </w:p>
    <w:p>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（二）借款申请人原商业贷款发放时，按借款申请人及配偶公积金账户正常缴存余额的倍数计算的贷款额度；</w:t>
      </w:r>
    </w:p>
    <w:p>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（三）借款申请人原商业贷款发放时，按规定比例计算的贷款额度；</w:t>
      </w:r>
    </w:p>
    <w:p>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（四）借款申请人原商业贷款发放时，青岛市住房公积金管理委员会确定的最高贷款额度。</w:t>
      </w:r>
    </w:p>
    <w:p>
      <w:pPr>
        <w:spacing w:line="560" w:lineRule="exact"/>
        <w:ind w:firstLine="640" w:firstLineChars="200"/>
        <w:rPr>
          <w:rFonts w:ascii="仿宋_GB2312" w:hAnsi="仿宋_GB2312" w:eastAsia="仿宋_GB2312" w:cs="仿宋_GB2312"/>
          <w:sz w:val="32"/>
          <w:szCs w:val="32"/>
        </w:rPr>
      </w:pPr>
      <w:r>
        <w:rPr>
          <w:rFonts w:hint="eastAsia" w:ascii="黑体" w:hAnsi="黑体" w:eastAsia="黑体" w:cs="黑体"/>
          <w:sz w:val="32"/>
          <w:szCs w:val="32"/>
        </w:rPr>
        <w:t>第十条</w:t>
      </w:r>
      <w:r>
        <w:rPr>
          <w:rFonts w:hint="eastAsia" w:ascii="仿宋_GB2312" w:hAnsi="仿宋_GB2312" w:eastAsia="仿宋_GB2312" w:cs="仿宋_GB2312"/>
          <w:sz w:val="32"/>
          <w:szCs w:val="32"/>
        </w:rPr>
        <w:t xml:space="preserve">  商转公贷款的还贷能力计算公式、账户余额倍数、最高贷款额度、贷款期限和利率按照《青岛市个人住房公积金贷款管理办法》《青岛市住房公积金管理中心关于明确个人住房公积金贷款有关事项的通知》等政策有关规定执行。</w:t>
      </w:r>
    </w:p>
    <w:p>
      <w:pPr>
        <w:spacing w:line="560" w:lineRule="exact"/>
        <w:ind w:firstLine="640" w:firstLineChars="200"/>
        <w:jc w:val="center"/>
        <w:rPr>
          <w:rFonts w:ascii="仿宋_GB2312" w:hAnsi="仿宋_GB2312" w:eastAsia="仿宋_GB2312" w:cs="仿宋_GB2312"/>
          <w:sz w:val="32"/>
          <w:szCs w:val="32"/>
        </w:rPr>
      </w:pPr>
    </w:p>
    <w:p>
      <w:pPr>
        <w:spacing w:line="560" w:lineRule="exact"/>
        <w:jc w:val="center"/>
        <w:rPr>
          <w:rFonts w:ascii="方正小标宋_GBK" w:hAnsi="方正小标宋_GBK" w:eastAsia="方正小标宋_GBK" w:cs="方正小标宋_GBK"/>
          <w:sz w:val="32"/>
          <w:szCs w:val="32"/>
        </w:rPr>
      </w:pPr>
      <w:r>
        <w:rPr>
          <w:rFonts w:hint="eastAsia" w:ascii="方正小标宋_GBK" w:hAnsi="方正小标宋_GBK" w:eastAsia="方正小标宋_GBK" w:cs="方正小标宋_GBK"/>
          <w:sz w:val="32"/>
          <w:szCs w:val="32"/>
        </w:rPr>
        <w:t>第四章  贷款程序</w:t>
      </w:r>
    </w:p>
    <w:p>
      <w:pPr>
        <w:pStyle w:val="2"/>
        <w:spacing w:line="560" w:lineRule="exact"/>
      </w:pPr>
    </w:p>
    <w:p>
      <w:pPr>
        <w:spacing w:line="560" w:lineRule="exact"/>
        <w:ind w:firstLine="640" w:firstLineChars="200"/>
        <w:rPr>
          <w:rFonts w:ascii="仿宋_GB2312" w:hAnsi="仿宋_GB2312" w:eastAsia="仿宋_GB2312" w:cs="仿宋_GB2312"/>
          <w:sz w:val="32"/>
          <w:szCs w:val="32"/>
        </w:rPr>
      </w:pPr>
      <w:r>
        <w:rPr>
          <w:rFonts w:hint="eastAsia" w:ascii="黑体" w:hAnsi="黑体" w:eastAsia="黑体" w:cs="黑体"/>
          <w:sz w:val="32"/>
          <w:szCs w:val="32"/>
        </w:rPr>
        <w:t>第十一条</w:t>
      </w:r>
      <w:r>
        <w:rPr>
          <w:rFonts w:hint="eastAsia" w:ascii="仿宋_GB2312" w:hAnsi="仿宋_GB2312" w:eastAsia="仿宋_GB2312" w:cs="仿宋_GB2312"/>
          <w:sz w:val="32"/>
          <w:szCs w:val="32"/>
        </w:rPr>
        <w:t xml:space="preserve">  商转公贷款按下列程序办理：</w:t>
      </w:r>
    </w:p>
    <w:p>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（一）借款申请人向原商业贷款银行征求意见。符合条件的借款申请人向原商业贷款银行提出商转公贷款需求，征得原商业贷款银行同意后，由原商业贷款银行出具《银行意见书》。</w:t>
      </w:r>
    </w:p>
    <w:p>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（二）借款申请人向市住房公积金管理中心申请商转公贷款。已取得《银行意见书》的借款申请人及配偶应提供以下资料：</w:t>
      </w:r>
    </w:p>
    <w:p>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1.原商贷银行出具的《银行意见书》；</w:t>
      </w:r>
    </w:p>
    <w:p>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2.借款申请人及配偶签名的商转公贷款申请审批表；</w:t>
      </w:r>
    </w:p>
    <w:p>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3.借款申请人及配偶有效身份证件及婚姻状况资料；</w:t>
      </w:r>
    </w:p>
    <w:p>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4.原商业贷款所购住房不动产权证；</w:t>
      </w:r>
    </w:p>
    <w:p>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5.个人信用征信报告、个人商业贷款信息查询授权书；</w:t>
      </w:r>
    </w:p>
    <w:p>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6.借款申请人及配偶还款能力相关资料；</w:t>
      </w:r>
    </w:p>
    <w:p>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7.借款申请人住房公积金联名卡；</w:t>
      </w:r>
    </w:p>
    <w:p>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8.其他必要的借款申请资料。</w:t>
      </w:r>
    </w:p>
    <w:p>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三）签订借款合同并办理抵押登记手续。对经审批后准予贷款的借款申请人，市住房公积金管理中心与其签订《青岛市住房公积金贷款抵押借款合同（商转公贷款专用）》，并会同借款申请人办理顺位抵押登记手续。</w:t>
      </w:r>
    </w:p>
    <w:p>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（四）借款申请人预存资金。借款申请人需将原商业贷款余额与商转公贷款额度的差额部分，用自有资金预存入原商业贷款银行指定账户，用于结清原商业贷款。</w:t>
      </w:r>
    </w:p>
    <w:p>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五）市住房公积金管理中心发放贷款。预存资金完备的，由原商业贷款银行通知市住房公积金管理中心，市住房公积金管理中心根据资金计划安排，将商转公贷款发放至原商业贷款银行指定账户，用于结清原商业贷款。</w:t>
      </w:r>
    </w:p>
    <w:p>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（六）原商业贷款抵押权注销。原商业贷款银行收到商转公贷款后，应在15个工作日内办理完毕原商业贷款的全部结清手续及抵押权的注销手续，并向市住房公积金管理中心出具结清撤押证明。</w:t>
      </w:r>
    </w:p>
    <w:p>
      <w:pPr>
        <w:spacing w:line="560" w:lineRule="exact"/>
        <w:ind w:firstLine="640" w:firstLineChars="200"/>
        <w:rPr>
          <w:rFonts w:ascii="仿宋_GB2312" w:hAnsi="仿宋_GB2312" w:eastAsia="仿宋_GB2312" w:cs="仿宋_GB2312"/>
          <w:sz w:val="32"/>
          <w:szCs w:val="32"/>
        </w:rPr>
      </w:pPr>
      <w:r>
        <w:rPr>
          <w:rFonts w:hint="eastAsia" w:ascii="黑体" w:hAnsi="黑体" w:eastAsia="黑体" w:cs="黑体"/>
          <w:sz w:val="32"/>
          <w:szCs w:val="32"/>
        </w:rPr>
        <w:t>第十二条</w:t>
      </w:r>
      <w:r>
        <w:rPr>
          <w:rFonts w:hint="eastAsia" w:ascii="仿宋_GB2312" w:hAnsi="仿宋_GB2312" w:eastAsia="仿宋_GB2312" w:cs="仿宋_GB2312"/>
          <w:sz w:val="32"/>
          <w:szCs w:val="32"/>
        </w:rPr>
        <w:t xml:space="preserve">  第十一条的（一）至（四）原则上应当在借款申请人原商业贷款的一个还款周期内完成。</w:t>
      </w:r>
    </w:p>
    <w:p>
      <w:pPr>
        <w:spacing w:line="560" w:lineRule="exact"/>
        <w:ind w:firstLine="640" w:firstLineChars="200"/>
        <w:jc w:val="center"/>
        <w:rPr>
          <w:rFonts w:ascii="仿宋_GB2312" w:hAnsi="仿宋_GB2312" w:eastAsia="仿宋_GB2312" w:cs="仿宋_GB2312"/>
          <w:sz w:val="32"/>
          <w:szCs w:val="32"/>
        </w:rPr>
      </w:pPr>
    </w:p>
    <w:p>
      <w:pPr>
        <w:spacing w:line="560" w:lineRule="exact"/>
        <w:jc w:val="center"/>
        <w:rPr>
          <w:rFonts w:ascii="方正小标宋_GBK" w:hAnsi="方正小标宋_GBK" w:eastAsia="方正小标宋_GBK" w:cs="方正小标宋_GBK"/>
          <w:sz w:val="32"/>
          <w:szCs w:val="32"/>
        </w:rPr>
      </w:pPr>
      <w:r>
        <w:rPr>
          <w:rFonts w:hint="eastAsia" w:ascii="方正小标宋_GBK" w:hAnsi="方正小标宋_GBK" w:eastAsia="方正小标宋_GBK" w:cs="方正小标宋_GBK"/>
          <w:sz w:val="32"/>
          <w:szCs w:val="32"/>
        </w:rPr>
        <w:t>第五章  其他规定</w:t>
      </w:r>
    </w:p>
    <w:p>
      <w:pPr>
        <w:pStyle w:val="2"/>
        <w:spacing w:line="560" w:lineRule="exact"/>
      </w:pPr>
    </w:p>
    <w:p>
      <w:pPr>
        <w:spacing w:line="560" w:lineRule="exact"/>
        <w:ind w:firstLine="640" w:firstLineChars="200"/>
        <w:rPr>
          <w:rFonts w:ascii="仿宋_GB2312" w:hAnsi="仿宋_GB2312" w:eastAsia="仿宋_GB2312" w:cs="仿宋_GB2312"/>
          <w:sz w:val="32"/>
          <w:szCs w:val="32"/>
        </w:rPr>
      </w:pPr>
      <w:r>
        <w:rPr>
          <w:rFonts w:hint="eastAsia" w:ascii="黑体" w:hAnsi="黑体" w:eastAsia="黑体" w:cs="黑体"/>
          <w:sz w:val="32"/>
          <w:szCs w:val="32"/>
        </w:rPr>
        <w:t>第十三条</w:t>
      </w:r>
      <w:r>
        <w:rPr>
          <w:rFonts w:hint="eastAsia" w:ascii="仿宋_GB2312" w:hAnsi="仿宋_GB2312" w:eastAsia="仿宋_GB2312" w:cs="仿宋_GB2312"/>
          <w:sz w:val="32"/>
          <w:szCs w:val="32"/>
        </w:rPr>
        <w:t xml:space="preserve">  为防范住房公积金流动性风险，市住房公积金管理中心将对每年商转公贷款的总体资金使用规模进行设定，并根据实际情况按月进行动态调控。当出现流动性风险时，市住房公积金管理中心应及时采取防控措施，包括但不限于实行商转公贷款预约申请制、轮候发放制和暂停受理商转公贷款。</w:t>
      </w:r>
    </w:p>
    <w:p>
      <w:pPr>
        <w:spacing w:line="560" w:lineRule="exact"/>
        <w:ind w:firstLine="640" w:firstLineChars="200"/>
        <w:rPr>
          <w:rFonts w:ascii="仿宋_GB2312" w:hAnsi="仿宋_GB2312" w:eastAsia="仿宋_GB2312" w:cs="仿宋_GB2312"/>
          <w:sz w:val="32"/>
          <w:szCs w:val="32"/>
        </w:rPr>
      </w:pPr>
      <w:r>
        <w:rPr>
          <w:rFonts w:hint="eastAsia" w:ascii="黑体" w:hAnsi="黑体" w:eastAsia="黑体" w:cs="黑体"/>
          <w:sz w:val="32"/>
          <w:szCs w:val="32"/>
        </w:rPr>
        <w:t xml:space="preserve">第十四条 </w:t>
      </w:r>
      <w:r>
        <w:rPr>
          <w:rFonts w:hint="eastAsia" w:ascii="仿宋_GB2312" w:hAnsi="仿宋_GB2312" w:eastAsia="仿宋_GB2312" w:cs="仿宋_GB2312"/>
          <w:sz w:val="32"/>
          <w:szCs w:val="32"/>
        </w:rPr>
        <w:t xml:space="preserve"> 以下情形，市住房公积金管理中心有权作出不予贷款的决定：</w:t>
      </w:r>
    </w:p>
    <w:p>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（一）原商业贷款所购房屋存在被查封、已设立居住权、重复抵押等影响抵押权实现的情形；</w:t>
      </w:r>
    </w:p>
    <w:p>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（二）原商业贷款借款人已离异，经法院判决或裁定、或离婚协议中明确其房屋产权归属已不在原商业贷款借款人名下的，原商贷借款人或配偶都不能办理商转公贷款；</w:t>
      </w:r>
    </w:p>
    <w:p>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（三）其他经市住房公积金管理中心审查，认为不符合贷款条件或存在贷款风险的情形。</w:t>
      </w:r>
    </w:p>
    <w:p>
      <w:pPr>
        <w:spacing w:line="560" w:lineRule="exact"/>
        <w:ind w:firstLine="640" w:firstLineChars="200"/>
        <w:jc w:val="center"/>
        <w:rPr>
          <w:rFonts w:ascii="仿宋_GB2312" w:hAnsi="仿宋_GB2312" w:eastAsia="仿宋_GB2312" w:cs="仿宋_GB2312"/>
          <w:sz w:val="32"/>
          <w:szCs w:val="32"/>
        </w:rPr>
      </w:pPr>
    </w:p>
    <w:p>
      <w:pPr>
        <w:spacing w:line="560" w:lineRule="exact"/>
        <w:jc w:val="center"/>
        <w:rPr>
          <w:rFonts w:ascii="方正小标宋_GBK" w:hAnsi="方正小标宋_GBK" w:eastAsia="方正小标宋_GBK" w:cs="方正小标宋_GBK"/>
          <w:sz w:val="32"/>
          <w:szCs w:val="32"/>
        </w:rPr>
      </w:pPr>
      <w:r>
        <w:rPr>
          <w:rFonts w:hint="eastAsia" w:ascii="方正小标宋_GBK" w:hAnsi="方正小标宋_GBK" w:eastAsia="方正小标宋_GBK" w:cs="方正小标宋_GBK"/>
          <w:sz w:val="32"/>
          <w:szCs w:val="32"/>
        </w:rPr>
        <w:t>第六章  附　　则</w:t>
      </w:r>
    </w:p>
    <w:p>
      <w:pPr>
        <w:pStyle w:val="2"/>
        <w:spacing w:line="560" w:lineRule="exact"/>
      </w:pPr>
    </w:p>
    <w:p>
      <w:pPr>
        <w:spacing w:line="560" w:lineRule="exact"/>
        <w:ind w:firstLine="640" w:firstLineChars="200"/>
        <w:rPr>
          <w:rFonts w:ascii="仿宋_GB2312" w:hAnsi="仿宋_GB2312" w:eastAsia="仿宋_GB2312" w:cs="仿宋_GB2312"/>
          <w:sz w:val="32"/>
          <w:szCs w:val="32"/>
        </w:rPr>
      </w:pPr>
      <w:r>
        <w:rPr>
          <w:rFonts w:hint="eastAsia" w:ascii="黑体" w:hAnsi="黑体" w:eastAsia="黑体" w:cs="黑体"/>
          <w:sz w:val="32"/>
          <w:szCs w:val="32"/>
        </w:rPr>
        <w:t>第十五条</w:t>
      </w:r>
      <w:r>
        <w:rPr>
          <w:rFonts w:hint="eastAsia" w:ascii="仿宋_GB2312" w:hAnsi="仿宋_GB2312" w:eastAsia="仿宋_GB2312" w:cs="仿宋_GB2312"/>
          <w:sz w:val="32"/>
          <w:szCs w:val="32"/>
        </w:rPr>
        <w:t xml:space="preserve">  本办法未尽事宜按我市个人住房公积金贷款有关规定执行。</w:t>
      </w:r>
    </w:p>
    <w:p>
      <w:pPr>
        <w:spacing w:line="560" w:lineRule="exact"/>
        <w:ind w:firstLine="640" w:firstLineChars="200"/>
        <w:rPr>
          <w:rFonts w:ascii="仿宋_GB2312" w:hAnsi="仿宋_GB2312" w:eastAsia="仿宋_GB2312" w:cs="仿宋_GB2312"/>
          <w:sz w:val="32"/>
          <w:szCs w:val="32"/>
        </w:rPr>
      </w:pPr>
      <w:r>
        <w:rPr>
          <w:rFonts w:hint="eastAsia" w:ascii="黑体" w:hAnsi="黑体" w:eastAsia="黑体" w:cs="黑体"/>
          <w:sz w:val="32"/>
          <w:szCs w:val="32"/>
        </w:rPr>
        <w:t>第十六条</w:t>
      </w:r>
      <w:r>
        <w:rPr>
          <w:rFonts w:hint="eastAsia" w:ascii="仿宋_GB2312" w:hAnsi="仿宋_GB2312" w:eastAsia="仿宋_GB2312" w:cs="仿宋_GB2312"/>
          <w:sz w:val="32"/>
          <w:szCs w:val="32"/>
        </w:rPr>
        <w:t xml:space="preserve">  本办法由市住房公积金管理中心负责解释。</w:t>
      </w:r>
    </w:p>
    <w:p>
      <w:pPr>
        <w:spacing w:line="560" w:lineRule="exact"/>
        <w:ind w:firstLine="640" w:firstLineChars="200"/>
        <w:rPr>
          <w:rFonts w:ascii="仿宋_GB2312" w:hAnsi="仿宋_GB2312" w:eastAsia="仿宋_GB2312" w:cs="仿宋_GB2312"/>
          <w:sz w:val="32"/>
          <w:szCs w:val="32"/>
        </w:rPr>
      </w:pPr>
      <w:r>
        <w:rPr>
          <w:rFonts w:hint="eastAsia" w:ascii="黑体" w:hAnsi="黑体" w:eastAsia="黑体" w:cs="黑体"/>
          <w:sz w:val="32"/>
          <w:szCs w:val="32"/>
        </w:rPr>
        <w:t>第十七条</w:t>
      </w:r>
      <w:r>
        <w:rPr>
          <w:rFonts w:hint="eastAsia" w:ascii="仿宋_GB2312" w:hAnsi="仿宋_GB2312" w:eastAsia="仿宋_GB2312" w:cs="仿宋_GB2312"/>
          <w:sz w:val="32"/>
          <w:szCs w:val="32"/>
        </w:rPr>
        <w:t xml:space="preserve">  本办法自2022年12月5日起施行。 </w:t>
      </w:r>
    </w:p>
    <w:p>
      <w:pPr>
        <w:spacing w:line="560" w:lineRule="exact"/>
        <w:rPr>
          <w:rFonts w:hint="eastAsia"/>
        </w:rPr>
      </w:pPr>
    </w:p>
    <w:p>
      <w:pPr>
        <w:spacing w:line="560" w:lineRule="exact"/>
        <w:rPr>
          <w:rFonts w:hint="eastAsia"/>
        </w:rPr>
      </w:pPr>
    </w:p>
    <w:p>
      <w:pPr>
        <w:spacing w:line="560" w:lineRule="exact"/>
        <w:rPr>
          <w:rFonts w:hint="eastAsia"/>
        </w:rPr>
      </w:pPr>
    </w:p>
    <w:p>
      <w:pPr>
        <w:spacing w:line="560" w:lineRule="exact"/>
        <w:rPr>
          <w:rFonts w:hint="eastAsia"/>
        </w:rPr>
      </w:pPr>
    </w:p>
    <w:p>
      <w:pPr>
        <w:spacing w:line="560" w:lineRule="exact"/>
        <w:rPr>
          <w:rFonts w:hint="eastAsia"/>
        </w:rPr>
      </w:pPr>
    </w:p>
    <w:p>
      <w:pPr>
        <w:spacing w:line="560" w:lineRule="exact"/>
        <w:rPr>
          <w:rFonts w:hint="eastAsia"/>
        </w:rPr>
      </w:pPr>
    </w:p>
    <w:p>
      <w:pPr>
        <w:spacing w:line="560" w:lineRule="exact"/>
        <w:rPr>
          <w:rFonts w:hint="eastAsia"/>
        </w:rPr>
      </w:pPr>
    </w:p>
    <w:p>
      <w:pPr>
        <w:spacing w:line="560" w:lineRule="exact"/>
        <w:rPr>
          <w:rFonts w:hint="eastAsia"/>
        </w:rPr>
      </w:pPr>
    </w:p>
    <w:p>
      <w:pPr>
        <w:spacing w:line="560" w:lineRule="exact"/>
        <w:rPr>
          <w:rFonts w:hint="eastAsia"/>
        </w:rPr>
      </w:pPr>
    </w:p>
    <w:p>
      <w:pPr>
        <w:spacing w:line="560" w:lineRule="exact"/>
        <w:rPr>
          <w:rFonts w:hint="eastAsia"/>
        </w:rPr>
      </w:pPr>
    </w:p>
    <w:p>
      <w:pPr>
        <w:spacing w:line="560" w:lineRule="exact"/>
        <w:rPr>
          <w:rFonts w:hint="eastAsia"/>
        </w:rPr>
      </w:pPr>
    </w:p>
    <w:p>
      <w:pPr>
        <w:spacing w:line="560" w:lineRule="exact"/>
        <w:rPr>
          <w:rFonts w:hint="eastAsia"/>
        </w:rPr>
      </w:pPr>
    </w:p>
    <w:p>
      <w:pPr>
        <w:spacing w:line="560" w:lineRule="exact"/>
        <w:rPr>
          <w:rFonts w:hint="eastAsia"/>
        </w:rPr>
      </w:pPr>
    </w:p>
    <w:p>
      <w:pPr>
        <w:spacing w:line="560" w:lineRule="exact"/>
        <w:rPr>
          <w:rFonts w:hint="eastAsia"/>
        </w:rPr>
      </w:pPr>
    </w:p>
    <w:p>
      <w:pPr>
        <w:spacing w:line="560" w:lineRule="exact"/>
        <w:rPr>
          <w:rFonts w:hint="eastAsia"/>
        </w:rPr>
      </w:pPr>
    </w:p>
    <w:p>
      <w:pPr>
        <w:spacing w:line="560" w:lineRule="exact"/>
        <w:rPr>
          <w:rFonts w:hint="eastAsia"/>
        </w:rPr>
      </w:pPr>
    </w:p>
    <w:p>
      <w:pPr>
        <w:spacing w:line="560" w:lineRule="exact"/>
        <w:rPr>
          <w:rFonts w:hint="eastAsia"/>
        </w:rPr>
      </w:pPr>
    </w:p>
    <w:p>
      <w:pPr>
        <w:spacing w:line="560" w:lineRule="exact"/>
        <w:rPr>
          <w:rFonts w:hint="eastAsia"/>
        </w:rPr>
      </w:pPr>
    </w:p>
    <w:p>
      <w:pPr>
        <w:spacing w:line="560" w:lineRule="exact"/>
        <w:rPr>
          <w:rFonts w:hint="eastAsia"/>
        </w:rPr>
      </w:pPr>
    </w:p>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rPr>
      </w:pPr>
      <w:bookmarkStart w:id="0" w:name="_GoBack"/>
      <w:bookmarkEnd w:id="0"/>
    </w:p>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rPr>
      </w:pPr>
    </w:p>
    <w:p>
      <w:pPr>
        <w:spacing w:line="560" w:lineRule="exact"/>
        <w:rPr>
          <w:rFonts w:hint="eastAsia"/>
        </w:rPr>
      </w:pPr>
    </w:p>
    <w:p>
      <w:pPr>
        <w:spacing w:line="520" w:lineRule="exact"/>
        <w:rPr>
          <w:rFonts w:hint="eastAsia" w:ascii="仿宋_GB2312" w:eastAsia="仿宋_GB2312"/>
          <w:sz w:val="32"/>
          <w:szCs w:val="32"/>
        </w:rPr>
      </w:pPr>
      <w:r>
        <w:rPr>
          <w:rFonts w:hint="eastAsia" w:ascii="仿宋_GB2312" w:hAnsi="仿宋_GB2312" w:eastAsia="仿宋_GB2312"/>
          <w:spacing w:val="-20"/>
          <w:sz w:val="32"/>
          <w:szCs w:val="32"/>
        </w:rPr>
        <mc:AlternateContent>
          <mc:Choice Requires="wps">
            <w:drawing>
              <wp:anchor distT="0" distB="0" distL="114300" distR="114300" simplePos="0" relativeHeight="251659264" behindDoc="0" locked="0" layoutInCell="1" allowOverlap="1">
                <wp:simplePos x="0" y="0"/>
                <wp:positionH relativeFrom="column">
                  <wp:posOffset>18415</wp:posOffset>
                </wp:positionH>
                <wp:positionV relativeFrom="paragraph">
                  <wp:posOffset>374650</wp:posOffset>
                </wp:positionV>
                <wp:extent cx="5600700" cy="0"/>
                <wp:effectExtent l="18415" t="12700" r="10160" b="15875"/>
                <wp:wrapNone/>
                <wp:docPr id="3" name="直接箭头连接符 3"/>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straightConnector1">
                          <a:avLst/>
                        </a:prstGeom>
                        <a:noFill/>
                        <a:ln w="19050">
                          <a:solidFill>
                            <a:srgbClr val="000000"/>
                          </a:solidFill>
                          <a:round/>
                        </a:ln>
                      </wps:spPr>
                      <wps:bodyPr/>
                    </wps:wsp>
                  </a:graphicData>
                </a:graphic>
              </wp:anchor>
            </w:drawing>
          </mc:Choice>
          <mc:Fallback>
            <w:pict>
              <v:shape id="_x0000_s1026" o:spid="_x0000_s1026" o:spt="32" type="#_x0000_t32" style="position:absolute;left:0pt;margin-left:1.45pt;margin-top:29.5pt;height:0pt;width:441pt;z-index:251659264;mso-width-relative:page;mso-height-relative:page;" filled="f" stroked="t" coordsize="21600,21600" o:gfxdata="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BTYhFf0gAAAAcBAAAPAAAAAAAAAAEAIAAAACIAAABkcnMvZG93bnJldi54bWxQSwECFAAUAAAA&#10;CACHTuJAywPR6PQBAAC/AwAADgAAAAAAAAABACAAAAAhAQAAZHJzL2Uyb0RvYy54bWxQSwUGAAAA&#10;AAYABgBZAQAAhwUAAAAA&#10;">
                <v:fill on="f" focussize="0,0"/>
                <v:stroke weight="1.5pt" color="#000000" joinstyle="round"/>
                <v:imagedata o:title=""/>
                <o:lock v:ext="edit" aspectratio="f"/>
              </v:shape>
            </w:pict>
          </mc:Fallback>
        </mc:AlternateContent>
      </w:r>
    </w:p>
    <w:p>
      <w:pPr>
        <w:widowControl/>
        <w:spacing w:line="590" w:lineRule="exact"/>
        <w:ind w:firstLine="240" w:firstLineChars="100"/>
        <w:jc w:val="left"/>
        <w:rPr>
          <w:rFonts w:ascii="仿宋_GB2312" w:hAnsi="仿宋_GB2312" w:eastAsia="仿宋_GB2312" w:cs="仿宋_GB2312"/>
          <w:sz w:val="28"/>
          <w:szCs w:val="28"/>
        </w:rPr>
      </w:pPr>
      <w:r>
        <w:rPr>
          <w:rFonts w:hint="eastAsia" w:ascii="仿宋_GB2312" w:hAnsi="仿宋_GB2312" w:eastAsia="仿宋_GB2312"/>
          <w:spacing w:val="-20"/>
          <w:sz w:val="28"/>
          <w:szCs w:val="28"/>
        </w:rPr>
        <mc:AlternateContent>
          <mc:Choice Requires="wps">
            <w:drawing>
              <wp:anchor distT="0" distB="0" distL="114300" distR="114300" simplePos="0" relativeHeight="251660288" behindDoc="0" locked="0" layoutInCell="1" allowOverlap="1">
                <wp:simplePos x="0" y="0"/>
                <wp:positionH relativeFrom="column">
                  <wp:posOffset>27940</wp:posOffset>
                </wp:positionH>
                <wp:positionV relativeFrom="paragraph">
                  <wp:posOffset>416560</wp:posOffset>
                </wp:positionV>
                <wp:extent cx="5600700" cy="0"/>
                <wp:effectExtent l="18415" t="16510" r="10160" b="12065"/>
                <wp:wrapNone/>
                <wp:docPr id="2" name="直接箭头连接符 2"/>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straightConnector1">
                          <a:avLst/>
                        </a:prstGeom>
                        <a:noFill/>
                        <a:ln w="19050">
                          <a:solidFill>
                            <a:srgbClr val="000000"/>
                          </a:solidFill>
                          <a:round/>
                        </a:ln>
                      </wps:spPr>
                      <wps:bodyPr/>
                    </wps:wsp>
                  </a:graphicData>
                </a:graphic>
              </wp:anchor>
            </w:drawing>
          </mc:Choice>
          <mc:Fallback>
            <w:pict>
              <v:shape id="_x0000_s1026" o:spid="_x0000_s1026" o:spt="32" type="#_x0000_t32" style="position:absolute;left:0pt;margin-left:2.2pt;margin-top:32.8pt;height:0pt;width:441pt;z-index:251660288;mso-width-relative:page;mso-height-relative:page;" filled="f" stroked="t" coordsize="21600,21600" o:gfxdata="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N2cy5dAAAAAHAQAADwAAAAAAAAABACAAAAAiAAAAZHJzL2Rvd25yZXYueG1sUEsBAhQAFAAAAAgA&#10;h07iQDh9XzT0AQAAvwMAAA4AAAAAAAAAAQAgAAAAHwEAAGRycy9lMm9Eb2MueG1sUEsFBgAAAAAG&#10;AAYAWQEAAIUFAAAAAA==&#10;">
                <v:fill on="f" focussize="0,0"/>
                <v:stroke weight="1.5pt" color="#000000" joinstyle="round"/>
                <v:imagedata o:title=""/>
                <o:lock v:ext="edit" aspectratio="f"/>
              </v:shape>
            </w:pict>
          </mc:Fallback>
        </mc:AlternateContent>
      </w:r>
      <w:r>
        <w:rPr>
          <w:rFonts w:hint="eastAsia" w:ascii="仿宋_GB2312" w:hAnsi="仿宋_GB2312" w:eastAsia="仿宋_GB2312"/>
          <w:spacing w:val="-20"/>
          <w:sz w:val="28"/>
          <w:szCs w:val="28"/>
        </w:rPr>
        <w:t>青岛市住房公积金管理中心办公室</w:t>
      </w:r>
      <w:r>
        <w:rPr>
          <w:rFonts w:hint="eastAsia" w:ascii="仿宋_GB2312" w:eastAsia="仿宋_GB2312"/>
          <w:sz w:val="28"/>
          <w:szCs w:val="28"/>
        </w:rPr>
        <w:t xml:space="preserve">  　        </w:t>
      </w:r>
      <w:r>
        <w:rPr>
          <w:rFonts w:hint="eastAsia" w:ascii="仿宋_GB2312" w:eastAsia="仿宋_GB2312"/>
          <w:sz w:val="28"/>
          <w:szCs w:val="28"/>
          <w:lang w:val="en-US" w:eastAsia="zh-CN"/>
        </w:rPr>
        <w:t xml:space="preserve"> </w:t>
      </w:r>
      <w:r>
        <w:rPr>
          <w:rFonts w:hint="eastAsia" w:ascii="仿宋_GB2312" w:eastAsia="仿宋_GB2312"/>
          <w:sz w:val="28"/>
          <w:szCs w:val="28"/>
        </w:rPr>
        <w:t xml:space="preserve"> 2022年</w:t>
      </w:r>
      <w:r>
        <w:rPr>
          <w:rFonts w:hint="eastAsia" w:ascii="仿宋_GB2312" w:hAnsi="华文中宋" w:eastAsia="仿宋_GB2312"/>
          <w:color w:val="000000"/>
          <w:sz w:val="28"/>
          <w:szCs w:val="28"/>
        </w:rPr>
        <w:t>12月2日印发</w:t>
      </w:r>
    </w:p>
    <w:sectPr>
      <w:footerReference r:id="rId3" w:type="default"/>
      <w:pgSz w:w="11906" w:h="16838"/>
      <w:pgMar w:top="2098" w:right="1474" w:bottom="1984" w:left="1587"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方正小标宋_GBK">
    <w:panose1 w:val="03000509000000000000"/>
    <w:charset w:val="86"/>
    <w:family w:val="script"/>
    <w:pitch w:val="default"/>
    <w:sig w:usb0="00000001" w:usb1="080E0000" w:usb2="00000000" w:usb3="00000000" w:csb0="00040000"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rPr>
                              <w:rFonts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ascii="宋体" w:hAnsi="宋体" w:eastAsia="宋体" w:cs="宋体"/>
                              <w:sz w:val="28"/>
                              <w:szCs w:val="28"/>
                            </w:rPr>
                            <w:t>- 2 -</w:t>
                          </w:r>
                          <w:r>
                            <w:rPr>
                              <w:rFonts w:hint="eastAsia" w:ascii="宋体" w:hAnsi="宋体" w:eastAsia="宋体" w:cs="宋体"/>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pPr>
                      <w:pStyle w:val="3"/>
                      <w:rPr>
                        <w:rFonts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ascii="宋体" w:hAnsi="宋体" w:eastAsia="宋体" w:cs="宋体"/>
                        <w:sz w:val="28"/>
                        <w:szCs w:val="28"/>
                      </w:rPr>
                      <w:t>- 2 -</w:t>
                    </w:r>
                    <w:r>
                      <w:rPr>
                        <w:rFonts w:hint="eastAsia" w:ascii="宋体" w:hAnsi="宋体" w:eastAsia="宋体" w:cs="宋体"/>
                        <w:sz w:val="28"/>
                        <w:szCs w:val="28"/>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UzOTgyYWI0NDU5NGU4MDgzZTgyNmIyNDZiM2Y2NDgifQ=="/>
  </w:docVars>
  <w:rsids>
    <w:rsidRoot w:val="00E253DE"/>
    <w:rsid w:val="0060302E"/>
    <w:rsid w:val="007657C3"/>
    <w:rsid w:val="00CF1D10"/>
    <w:rsid w:val="00E253DE"/>
    <w:rsid w:val="0BAB299C"/>
    <w:rsid w:val="0F9128E3"/>
    <w:rsid w:val="148C0B7C"/>
    <w:rsid w:val="168B5018"/>
    <w:rsid w:val="29203EC7"/>
    <w:rsid w:val="4D14747D"/>
    <w:rsid w:val="4F7470C9"/>
    <w:rsid w:val="64811A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Plain Text"/>
    <w:basedOn w:val="1"/>
    <w:qFormat/>
    <w:uiPriority w:val="0"/>
    <w:rPr>
      <w:rFonts w:ascii="宋体" w:hAnsi="Courier New"/>
    </w:rPr>
  </w:style>
  <w:style w:type="paragraph" w:styleId="3">
    <w:name w:val="footer"/>
    <w:basedOn w:val="1"/>
    <w:qFormat/>
    <w:uiPriority w:val="0"/>
    <w:pPr>
      <w:tabs>
        <w:tab w:val="center" w:pos="4153"/>
        <w:tab w:val="right" w:pos="8306"/>
      </w:tabs>
      <w:snapToGrid w:val="0"/>
      <w:jc w:val="left"/>
    </w:pPr>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2735</Words>
  <Characters>2777</Characters>
  <Lines>21</Lines>
  <Paragraphs>5</Paragraphs>
  <TotalTime>0</TotalTime>
  <ScaleCrop>false</ScaleCrop>
  <LinksUpToDate>false</LinksUpToDate>
  <CharactersWithSpaces>2867</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2022-12-01T09:30:00Z</dcterms:created>
  <dc:creator>Administrator</dc:creator>
  <cp:lastModifiedBy>Administrator</cp:lastModifiedBy>
  <dcterms:modified xsi:type="dcterms:W3CDTF">2022-12-01T10:21:20Z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D679EA814B9E44F9BBE116F2694ED38A</vt:lpwstr>
  </property>
</Properties>
</file>