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量子计算与《易经》"涌现"机制的</w:t>
        <w:br/>
        <w:t>哲学同构、工程构想与原型验证</w:t>
      </w:r>
    </w:p>
    <w:p>
      <w:pPr>
        <w:jc w:val="center"/>
      </w:pPr>
      <w:r>
        <w:rPr>
          <w:color w:val="505050"/>
          <w:sz w:val="22"/>
        </w:rPr>
        <w:t>马兴录课题组</w:t>
        <w:br/>
        <w:t>青岛科技大学 信息科学技术学院，山东 青岛 266061</w:t>
      </w:r>
    </w:p>
    <w:p/>
    <w:p>
      <w:pPr>
        <w:pStyle w:val="Heading2"/>
      </w:pPr>
      <w:r>
        <w:t>摘要</w:t>
      </w:r>
    </w:p>
    <w:p>
      <w:pPr>
        <w:ind w:firstLine="420"/>
      </w:pPr>
      <w:r>
        <w:t>本文探讨了量子计算与《易经》在"涌现"机制上的深层哲学同构性，并提出了量子易理统一框架（QYUF）及其原型验证结果。文章首先指出，量子叠加态与卦象的"寂然不动、感而遂通"在数学结构上存在深刻的平行关系：量子纠缠是非定域关联的物理实现，而"应"这一爻位关系则是易理中远距离呼应的概念表达，两者共享着"系统内部自洽性"的本质特征。其次，本文揭示了量子计算中"叠加-干涉-测量"范式与易理模型中"模糊隶属度-乘承比应运算-卦象判定"范式之间的三层涌现同构关系。进一步地，本文提出了QYUF框架，将六十四卦编码为量子叠加态，将"乘承比应"关系实现为Grover振幅放大的Oracle函数。在纯NumPy仿真验证中，从64卦均匀叠加出发，仅需1次Grover迭代，吉卦涌现概率即从基线28.1%跃升至98.9%（涌现增益x3.52），信息熵从6.00 bits降至4.27 bits。涌现结果可直接映射为YLYW具身决策系统的64种抓取策略。最后，本文对当前学术空白进行了定位：哲学类比已有先例，但将《易经》作为先验知识体系与量子计算在工程层面融合并完成原型验证的探讨几乎为空白，这构成了本文的核心原创性贡献。</w:t>
      </w:r>
    </w:p>
    <w:p>
      <w:r>
        <w:rPr>
          <w:b/>
        </w:rPr>
        <w:t>关键词：</w:t>
      </w:r>
      <w:r>
        <w:t>量子计算；《易经》；涌现机制；乘承比应；Grover算法；原型验证；YLYW</w:t>
      </w:r>
    </w:p>
    <w:p>
      <w:r>
        <w:br w:type="page"/>
      </w:r>
    </w:p>
    <w:p>
      <w:pPr>
        <w:pStyle w:val="Heading1"/>
      </w:pPr>
      <w:r>
        <w:t>1  引言</w:t>
      </w:r>
    </w:p>
    <w:p>
      <w:pPr>
        <w:pStyle w:val="Heading2"/>
      </w:pPr>
      <w:r>
        <w:t>1.1  问题背景：东西方智慧的深层共振</w:t>
      </w:r>
    </w:p>
    <w:p>
      <w:r>
        <w:t>量子力学自诞生以来，其反直觉的特征一直挑战着经典的因果论和实在论世界观。爱因斯坦将其称为"鬼魅般的超距作用"，费曼则坦言"没有人真正理解量子力学"[1]。而在东方，《易经》作为"群经之首"，两千余年来构建了一套以阴阳为基元、以卦象为模式的符号推演系统，其"寂然不动，感而遂通"的哲学命题与量子非定域性之间存在着令人惊异的结构性共鸣。</w:t>
      </w:r>
    </w:p>
    <w:p>
      <w:r>
        <w:t>这种共鸣并非偶然。量子力学奠基人尼尔斯·玻尔在1937年访问中国后，深刻认识到其"互补原理"与太极阴阳思想的高度一致，并将太极图设计为自己的家族徽章，亲笔题词"Contraria sunt complementa"（相反者相成）[2]。此后，卡普拉在《物理学之道》中系统比较了量子力学与东方神秘主义[3]，但其工作停留在哲学解释层面，未触及可计算、可工程化的形式化建模。</w:t>
      </w:r>
    </w:p>
    <w:p>
      <w:pPr>
        <w:pStyle w:val="Heading2"/>
      </w:pPr>
      <w:r>
        <w:t>1.2  从"哲学类比"到"工程同构"</w:t>
      </w:r>
    </w:p>
    <w:p>
      <w:r>
        <w:t>近年来，两个领域的发展使得更深层的融合成为可能。量子计算范式的成熟——通过叠加态实现并行探索，通过干涉效应筛选正确答案，通过测量完成结果的"涌现"——天然契合"无为而无不为"的计算哲学[4]。易理模型的形式化突破——YLYW系统已首次将《易经》卦象符号系统形式化为模糊隶属度框架下的可计算决策架构[5]，在300物体的零样本抓取决策中达到了92.7%的策略合理率。</w:t>
      </w:r>
    </w:p>
    <w:p>
      <w:r>
        <w:t>这两个突破的交汇，使我们有理由追问：如果《易经》的符号逻辑不是通过经典计算来"模拟"，而是通过量子比特的物理特性来"原生表达"，将会涌现出怎样的智能形态？</w:t>
      </w:r>
    </w:p>
    <w:p>
      <w:pPr>
        <w:pStyle w:val="Heading2"/>
      </w:pPr>
      <w:r>
        <w:t>1.3  本文贡献</w:t>
      </w:r>
    </w:p>
    <w:p>
      <w:r>
        <w:t>本文的核心贡献包括以下五点：</w:t>
      </w:r>
    </w:p>
    <w:p>
      <w:pPr>
        <w:pStyle w:val="ListBullet"/>
      </w:pPr>
      <w:r>
        <w:t>揭示了量子计算与易理模型在"涌现"机制上的三层同构关系——从哲学共鸣深化为数学结构上的形式化对应。</w:t>
      </w:r>
    </w:p>
    <w:p>
      <w:pPr>
        <w:pStyle w:val="ListBullet"/>
      </w:pPr>
      <w:r>
        <w:t>提出了"量子易理统一框架"（QYUF）的工程构想——将六十四卦编码为6量子比特叠加态，将"乘承比应"实现为Grover振幅放大的Oracle函数。</w:t>
      </w:r>
    </w:p>
    <w:p>
      <w:pPr>
        <w:pStyle w:val="ListBullet"/>
      </w:pPr>
      <w:r>
        <w:t>完成了QYUF原型的纯NumPy仿真验证——1次Grover迭代将吉卦概率从28.1%提升至98.9%（涌现增益x3.52），信息熵从6.00降至4.27 bits。</w:t>
      </w:r>
    </w:p>
    <w:p>
      <w:pPr>
        <w:pStyle w:val="ListBullet"/>
      </w:pPr>
      <w:r>
        <w:t>论证了量子化带来的三个质的飞跃——从"模拟"到"原生"的表达能力飞跃、从"逐路径搜索"到"并行涌现"的效率飞跃、从"确定推理"到"真随机创造"的创新力飞跃。</w:t>
      </w:r>
    </w:p>
    <w:p>
      <w:pPr>
        <w:pStyle w:val="ListBullet"/>
      </w:pPr>
      <w:r>
        <w:t>明确了当前学术空白——在已有量子认知模型[6]和经典易理仿真之间，"量子-易理"交叉工程领域几乎为空白。</w:t>
      </w:r>
    </w:p>
    <w:p>
      <w:r>
        <w:br w:type="page"/>
      </w:r>
    </w:p>
    <w:p>
      <w:pPr>
        <w:pStyle w:val="Heading1"/>
      </w:pPr>
      <w:r>
        <w:t>2  量子计算与易理模型的涌现机制同构</w:t>
      </w:r>
    </w:p>
    <w:p>
      <w:pPr>
        <w:pStyle w:val="Heading2"/>
      </w:pPr>
      <w:r>
        <w:t>2.1  涌现作为计算范式</w:t>
      </w:r>
    </w:p>
    <w:p>
      <w:r>
        <w:t>"涌现"（Emergence）是指系统通过局部规则的简单交互，在宏观层面呈现出不可预测的新性质[7]。从这一视角审视，量子计算和易理决策共享着同一个深层逻辑：智能的核心不在于逐一排查所有可能性，而在于构建一个让正确答案自然"浮出水面"的框架。</w:t>
      </w:r>
    </w:p>
    <w:p>
      <w:r>
        <w:t>表1  三类"涌现"机制的结构性对比</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涌现代理</w:t>
            </w:r>
          </w:p>
        </w:tc>
        <w:tc>
          <w:tcPr>
            <w:tcW w:type="dxa" w:w="2880"/>
          </w:tcPr>
          <w:p>
            <w:r>
              <w:t>初始状态</w:t>
            </w:r>
          </w:p>
        </w:tc>
        <w:tc>
          <w:tcPr>
            <w:tcW w:type="dxa" w:w="2880"/>
          </w:tcPr>
          <w:p>
            <w:r>
              <w:t>演化规则</w:t>
            </w:r>
          </w:p>
        </w:tc>
      </w:tr>
      <w:tr>
        <w:tc>
          <w:tcPr>
            <w:tcW w:type="dxa" w:w="2880"/>
          </w:tcPr>
          <w:p>
            <w:r>
              <w:t>量子涌现</w:t>
            </w:r>
          </w:p>
        </w:tc>
        <w:tc>
          <w:tcPr>
            <w:tcW w:type="dxa" w:w="2880"/>
          </w:tcPr>
          <w:p>
            <w:r>
              <w:t>量子比特处于所有可能解的叠加态</w:t>
            </w:r>
          </w:p>
        </w:tc>
        <w:tc>
          <w:tcPr>
            <w:tcW w:type="dxa" w:w="2880"/>
          </w:tcPr>
          <w:p>
            <w:r>
              <w:t>酉变换干涉使错误路径相消、正确路径相长</w:t>
            </w:r>
          </w:p>
        </w:tc>
      </w:tr>
      <w:tr>
        <w:tc>
          <w:tcPr>
            <w:tcW w:type="dxa" w:w="2880"/>
          </w:tcPr>
          <w:p>
            <w:r>
              <w:t>易理涌现</w:t>
            </w:r>
          </w:p>
        </w:tc>
        <w:tc>
          <w:tcPr>
            <w:tcW w:type="dxa" w:w="2880"/>
          </w:tcPr>
          <w:p>
            <w:r>
              <w:t>卦象处于多个隶属度的模糊分布</w:t>
            </w:r>
          </w:p>
        </w:tc>
        <w:tc>
          <w:tcPr>
            <w:tcW w:type="dxa" w:w="2880"/>
          </w:tcPr>
          <w:p>
            <w:r>
              <w:t>乘承比应规则筛选，使最优卦象浮现</w:t>
            </w:r>
          </w:p>
        </w:tc>
      </w:tr>
      <w:tr>
        <w:tc>
          <w:tcPr>
            <w:tcW w:type="dxa" w:w="2880"/>
          </w:tcPr>
          <w:p>
            <w:r>
              <w:t>自然涌现</w:t>
            </w:r>
          </w:p>
        </w:tc>
        <w:tc>
          <w:tcPr>
            <w:tcW w:type="dxa" w:w="2880"/>
          </w:tcPr>
          <w:p>
            <w:r>
              <w:t>简单物理法则与初始条件</w:t>
            </w:r>
          </w:p>
        </w:tc>
        <w:tc>
          <w:tcPr>
            <w:tcW w:type="dxa" w:w="2880"/>
          </w:tcPr>
          <w:p>
            <w:r>
              <w:t>非线性相互作用产生复杂秩序</w:t>
            </w:r>
          </w:p>
        </w:tc>
      </w:tr>
    </w:tbl>
    <w:p>
      <w:pPr>
        <w:pStyle w:val="Heading2"/>
      </w:pPr>
      <w:r>
        <w:t>2.2  第一层同构：叠加态与模糊隶属度</w:t>
      </w:r>
    </w:p>
    <w:p>
      <w:r>
        <w:t>量子叠加是最根本的反经典特征：一个量子比特可同时处于|0⟩和|1⟩的任意线性组合α|0⟩+β|1⟩。易理的"模糊隶属度"与之高度平行——一个物体的物理特征不是"属于或不属于"某个卦象，而是以程度的隶属度同时关联多个卦象。量子态的归一化条件Σ|α_i|²=1与模糊隶属度的凸组合约束Σμ_j=1存在自然的数学类比。</w:t>
      </w:r>
    </w:p>
    <w:p>
      <w:pPr>
        <w:pStyle w:val="Heading2"/>
      </w:pPr>
      <w:r>
        <w:t>2.3  第二层同构：纠缠与"应"</w:t>
      </w:r>
    </w:p>
    <w:p>
      <w:r>
        <w:t>量子纠缠是超越经典相关性的非定域关联。易理中的"应"描述初爻与四爻、二爻与五爻、三爻与上爻之间的远距离呼应关系。核心洞见：量子纠缠不是信号传递，而是"太极"内部"两仪"自我展现时的必然同步。</w:t>
      </w:r>
    </w:p>
    <w:p>
      <w:pPr>
        <w:pStyle w:val="Heading2"/>
      </w:pPr>
      <w:r>
        <w:t>2.4  第三层同构：干涉与"乘承比应"</w:t>
      </w:r>
    </w:p>
    <w:p>
      <w:r>
        <w:t>量子干涉通过相消/相长干涉使正确答案涌现。易理中的"乘承比应"运算在YLYW系统中扮演类似角色。两者的核心功能都是在一个并行的可能性空间中进行结构性约束，让正确答案自然浮现。</w:t>
      </w:r>
    </w:p>
    <w:p>
      <w:r>
        <w:br w:type="page"/>
      </w:r>
    </w:p>
    <w:p>
      <w:pPr>
        <w:pStyle w:val="Heading1"/>
      </w:pPr>
      <w:r>
        <w:t>3  从经典到量子：表达能力的范式飞跃</w:t>
      </w:r>
    </w:p>
    <w:p>
      <w:pPr>
        <w:pStyle w:val="Heading2"/>
      </w:pPr>
      <w:r>
        <w:t>3.1  卦象表达：从"是一卦"到"同时64卦的叠加"</w:t>
      </w:r>
    </w:p>
    <w:p>
      <w:r>
        <w:t>在量子表示中，6个量子比特可处于所有64卦的任意叠加态，完美表达了"寂然不动，感而遂通"的未定状态。</w:t>
      </w:r>
    </w:p>
    <w:p>
      <w:pPr>
        <w:pStyle w:val="Heading2"/>
      </w:pPr>
      <w:r>
        <w:t>3.2  关系表达：从"被计算"到"物理真实"</w:t>
      </w:r>
    </w:p>
    <w:p>
      <w:r>
        <w:t>通过CNOT门将相应爻位的量子比特制备为纠缠态，"应"的关系从逻辑规则变为物理真实的内在关联。</w:t>
      </w:r>
    </w:p>
    <w:p>
      <w:pPr>
        <w:pStyle w:val="Heading2"/>
      </w:pPr>
      <w:r>
        <w:t>3.3  涌现效率：串行到并行</w:t>
      </w:r>
    </w:p>
    <w:p>
      <w:r>
        <w:t>量子模型利用叠加态并行运算所有64卦，通过Grover振幅放大实现平方根加速。</w:t>
      </w:r>
    </w:p>
    <w:p>
      <w:pPr>
        <w:pStyle w:val="Heading1"/>
      </w:pPr>
      <w:r>
        <w:t>4  量子易理统一框架（QYUF）的设计</w:t>
      </w:r>
    </w:p>
    <w:p>
      <w:pPr>
        <w:pStyle w:val="Heading2"/>
      </w:pPr>
      <w:r>
        <w:t>4.1  总体架构</w:t>
      </w:r>
    </w:p>
    <w:p>
      <w:r>
        <w:t>QYUF总体架构分为三个层级：</w:t>
      </w:r>
    </w:p>
    <w:p>
      <w:pPr>
        <w:pStyle w:val="ListBullet"/>
      </w:pPr>
      <w:r>
        <w:t>L1 量子感知层——将物理信息编码为量子初态</w:t>
      </w:r>
    </w:p>
    <w:p>
      <w:pPr>
        <w:pStyle w:val="ListBullet"/>
      </w:pPr>
      <w:r>
        <w:t>L2 量子卦辞层——将"乘承比应"形式化为Grover Oracle</w:t>
      </w:r>
    </w:p>
    <w:p>
      <w:pPr>
        <w:pStyle w:val="ListBullet"/>
      </w:pPr>
      <w:r>
        <w:t>L3 量子测量层——通过测量从64卦叠加中涌现出最优决策</w:t>
      </w:r>
    </w:p>
    <w:p>
      <w:pPr>
        <w:pStyle w:val="Heading2"/>
      </w:pPr>
      <w:r>
        <w:t>4.2  Grover振幅放大作为涌现引擎</w:t>
      </w:r>
    </w:p>
    <w:p>
      <w:r>
        <w:t>QYUF采用Grover振幅放大，Oracle使用易理评分函数（涵盖当位、得中、乘承、应），评分范围-8~+14。设定阈值τ=3.0，评分≥τ视为吉卦。经过O(√(N/M))次迭代后，吉卦概率幅被系统性放大。</w:t>
      </w:r>
    </w:p>
    <w:p>
      <w:r>
        <w:br w:type="page"/>
      </w:r>
    </w:p>
    <w:p>
      <w:pPr>
        <w:pStyle w:val="Heading1"/>
      </w:pPr>
      <w:r>
        <w:t>5  原型验证与仿真实验</w:t>
      </w:r>
    </w:p>
    <w:p>
      <w:r>
        <w:t>本章通过纯NumPy仿真实现QYUF原型系统，验证量子涌现与易理涌现的数学同构。</w:t>
      </w:r>
    </w:p>
    <w:p>
      <w:pPr>
        <w:pStyle w:val="Heading2"/>
      </w:pPr>
      <w:r>
        <w:t>5.1  64卦评分分布</w:t>
      </w:r>
    </w:p>
    <w:p>
      <w:r>
        <w:t>最吉TOP5：贲(+14.0, 当位6/6, 应3/3)、离(+10.0)、蛊(+10.0)、鼎(+9.0)、坎(+9.0)</w:t>
      </w:r>
    </w:p>
    <w:p>
      <w:r>
        <w:t>最凶TOP5：夬(-8.0, 当位0/6)、困(-8.0)、蹇(-8.0)、晋(-8.0)、屯(-7.0)</w:t>
      </w:r>
    </w:p>
    <w:p>
      <w:r>
        <w:t>评分&gt;0：31卦(48.4%), 评分≥3：18卦(28.1%), 评分≥6：10卦(15.6%)</w:t>
      </w:r>
    </w:p>
    <w:p>
      <w:pPr>
        <w:pStyle w:val="Heading2"/>
      </w:pPr>
      <w:r>
        <w:t>5.2  振幅放大涌现动力学</w:t>
      </w:r>
    </w:p>
    <w:p>
      <w:r>
        <w:t>表2  Grover振幅放大迭代过程</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Iter</w:t>
            </w:r>
          </w:p>
        </w:tc>
        <w:tc>
          <w:tcPr>
            <w:tcW w:type="dxa" w:w="2160"/>
          </w:tcPr>
          <w:p>
            <w:r>
              <w:t>吉卦概率</w:t>
            </w:r>
          </w:p>
        </w:tc>
        <w:tc>
          <w:tcPr>
            <w:tcW w:type="dxa" w:w="2160"/>
          </w:tcPr>
          <w:p>
            <w:r>
              <w:t>TOP1</w:t>
            </w:r>
          </w:p>
        </w:tc>
        <w:tc>
          <w:tcPr>
            <w:tcW w:type="dxa" w:w="2160"/>
          </w:tcPr>
          <w:p>
            <w:r>
              <w:t>评分</w:t>
            </w:r>
          </w:p>
        </w:tc>
      </w:tr>
      <w:tr>
        <w:tc>
          <w:tcPr>
            <w:tcW w:type="dxa" w:w="2160"/>
          </w:tcPr>
          <w:p>
            <w:r>
              <w:t>0 (初始)</w:t>
            </w:r>
          </w:p>
        </w:tc>
        <w:tc>
          <w:tcPr>
            <w:tcW w:type="dxa" w:w="2160"/>
          </w:tcPr>
          <w:p>
            <w:r>
              <w:t>28.1%</w:t>
            </w:r>
          </w:p>
        </w:tc>
        <w:tc>
          <w:tcPr>
            <w:tcW w:type="dxa" w:w="2160"/>
          </w:tcPr>
          <w:p>
            <w:r>
              <w:t>未济</w:t>
            </w:r>
          </w:p>
        </w:tc>
        <w:tc>
          <w:tcPr>
            <w:tcW w:type="dxa" w:w="2160"/>
          </w:tcPr>
          <w:p>
            <w:r>
              <w:t>-3</w:t>
            </w:r>
          </w:p>
        </w:tc>
      </w:tr>
      <w:tr>
        <w:tc>
          <w:tcPr>
            <w:tcW w:type="dxa" w:w="2160"/>
          </w:tcPr>
          <w:p>
            <w:r>
              <w:t>1</w:t>
            </w:r>
          </w:p>
        </w:tc>
        <w:tc>
          <w:tcPr>
            <w:tcW w:type="dxa" w:w="2160"/>
          </w:tcPr>
          <w:p>
            <w:r>
              <w:t>98.9%</w:t>
            </w:r>
          </w:p>
        </w:tc>
        <w:tc>
          <w:tcPr>
            <w:tcW w:type="dxa" w:w="2160"/>
          </w:tcPr>
          <w:p>
            <w:r>
              <w:t>中孚</w:t>
            </w:r>
          </w:p>
        </w:tc>
        <w:tc>
          <w:tcPr>
            <w:tcW w:type="dxa" w:w="2160"/>
          </w:tcPr>
          <w:p>
            <w:r>
              <w:t>+4</w:t>
            </w:r>
          </w:p>
        </w:tc>
      </w:tr>
      <w:tr>
        <w:tc>
          <w:tcPr>
            <w:tcW w:type="dxa" w:w="2160"/>
          </w:tcPr>
          <w:p>
            <w:r>
              <w:t>2</w:t>
            </w:r>
          </w:p>
        </w:tc>
        <w:tc>
          <w:tcPr>
            <w:tcW w:type="dxa" w:w="2160"/>
          </w:tcPr>
          <w:p>
            <w:r>
              <w:t>11.5%</w:t>
            </w:r>
          </w:p>
        </w:tc>
        <w:tc>
          <w:tcPr>
            <w:tcW w:type="dxa" w:w="2160"/>
          </w:tcPr>
          <w:p>
            <w:r>
              <w:t>未济</w:t>
            </w:r>
          </w:p>
        </w:tc>
        <w:tc>
          <w:tcPr>
            <w:tcW w:type="dxa" w:w="2160"/>
          </w:tcPr>
          <w:p>
            <w:r>
              <w:t>-3</w:t>
            </w:r>
          </w:p>
        </w:tc>
      </w:tr>
      <w:tr>
        <w:tc>
          <w:tcPr>
            <w:tcW w:type="dxa" w:w="2160"/>
          </w:tcPr>
          <w:p>
            <w:r>
              <w:t>3</w:t>
            </w:r>
          </w:p>
        </w:tc>
        <w:tc>
          <w:tcPr>
            <w:tcW w:type="dxa" w:w="2160"/>
          </w:tcPr>
          <w:p>
            <w:r>
              <w:t>48.6%</w:t>
            </w:r>
          </w:p>
        </w:tc>
        <w:tc>
          <w:tcPr>
            <w:tcW w:type="dxa" w:w="2160"/>
          </w:tcPr>
          <w:p>
            <w:r>
              <w:t>中孚</w:t>
            </w:r>
          </w:p>
        </w:tc>
        <w:tc>
          <w:tcPr>
            <w:tcW w:type="dxa" w:w="2160"/>
          </w:tcPr>
          <w:p>
            <w:r>
              <w:t>+4</w:t>
            </w:r>
          </w:p>
        </w:tc>
      </w:tr>
      <w:tr>
        <w:tc>
          <w:tcPr>
            <w:tcW w:type="dxa" w:w="2160"/>
          </w:tcPr>
          <w:p>
            <w:r>
              <w:t>4</w:t>
            </w:r>
          </w:p>
        </w:tc>
        <w:tc>
          <w:tcPr>
            <w:tcW w:type="dxa" w:w="2160"/>
          </w:tcPr>
          <w:p>
            <w:r>
              <w:t>90.2%</w:t>
            </w:r>
          </w:p>
        </w:tc>
        <w:tc>
          <w:tcPr>
            <w:tcW w:type="dxa" w:w="2160"/>
          </w:tcPr>
          <w:p>
            <w:r>
              <w:t>中孚</w:t>
            </w:r>
          </w:p>
        </w:tc>
        <w:tc>
          <w:tcPr>
            <w:tcW w:type="dxa" w:w="2160"/>
          </w:tcPr>
          <w:p>
            <w:r>
              <w:t>+4</w:t>
            </w:r>
          </w:p>
        </w:tc>
      </w:tr>
    </w:tbl>
    <w:p/>
    <w:p>
      <w:r>
        <w:t>表3  涌现前后关键指标对比</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涌现前</w:t>
            </w:r>
          </w:p>
        </w:tc>
        <w:tc>
          <w:tcPr>
            <w:tcW w:type="dxa" w:w="2880"/>
          </w:tcPr>
          <w:p>
            <w:r>
              <w:t>涌现后</w:t>
            </w:r>
          </w:p>
        </w:tc>
      </w:tr>
      <w:tr>
        <w:tc>
          <w:tcPr>
            <w:tcW w:type="dxa" w:w="2880"/>
          </w:tcPr>
          <w:p>
            <w:r>
              <w:t>吉卦总概率</w:t>
            </w:r>
          </w:p>
        </w:tc>
        <w:tc>
          <w:tcPr>
            <w:tcW w:type="dxa" w:w="2880"/>
          </w:tcPr>
          <w:p>
            <w:r>
              <w:t>28.1%</w:t>
            </w:r>
          </w:p>
        </w:tc>
        <w:tc>
          <w:tcPr>
            <w:tcW w:type="dxa" w:w="2880"/>
          </w:tcPr>
          <w:p>
            <w:r>
              <w:t>98.9%</w:t>
            </w:r>
          </w:p>
        </w:tc>
      </w:tr>
      <w:tr>
        <w:tc>
          <w:tcPr>
            <w:tcW w:type="dxa" w:w="2880"/>
          </w:tcPr>
          <w:p>
            <w:r>
              <w:t>信息熵 (bits)</w:t>
            </w:r>
          </w:p>
        </w:tc>
        <w:tc>
          <w:tcPr>
            <w:tcW w:type="dxa" w:w="2880"/>
          </w:tcPr>
          <w:p>
            <w:r>
              <w:t>6.00</w:t>
            </w:r>
          </w:p>
        </w:tc>
        <w:tc>
          <w:tcPr>
            <w:tcW w:type="dxa" w:w="2880"/>
          </w:tcPr>
          <w:p>
            <w:r>
              <w:t>4.27</w:t>
            </w:r>
          </w:p>
        </w:tc>
      </w:tr>
      <w:tr>
        <w:tc>
          <w:tcPr>
            <w:tcW w:type="dxa" w:w="2880"/>
          </w:tcPr>
          <w:p>
            <w:r>
              <w:t>涌现增益</w:t>
            </w:r>
          </w:p>
        </w:tc>
        <w:tc>
          <w:tcPr>
            <w:tcW w:type="dxa" w:w="2880"/>
          </w:tcPr>
          <w:p>
            <w:r>
              <w:t>—</w:t>
            </w:r>
          </w:p>
        </w:tc>
        <w:tc>
          <w:tcPr>
            <w:tcW w:type="dxa" w:w="2880"/>
          </w:tcPr>
          <w:p>
            <w:r>
              <w:t>x3.52</w:t>
            </w:r>
          </w:p>
        </w:tc>
      </w:tr>
    </w:tbl>
    <w:p/>
    <w:p>
      <w:r>
        <w:t>涌现效果：仅需1次Grover迭代，吉卦概率从28.1%跃升至98.9%，涌现增益x3.52。</w:t>
      </w:r>
    </w:p>
    <w:p>
      <w:pPr>
        <w:pStyle w:val="Heading2"/>
      </w:pPr>
      <w:r>
        <w:t>5.3  涌现决策与YLYW策略映射</w:t>
      </w:r>
    </w:p>
    <w:p>
      <w:r>
        <w:t>涌现吉卦可直接映射为YLYW抓取策略，如贲→decorative_grasp、离→precise_grasp等。</w:t>
      </w:r>
    </w:p>
    <w:p>
      <w:pPr>
        <w:pStyle w:val="Heading2"/>
      </w:pPr>
      <w:r>
        <w:t>5.4  实验结论</w:t>
      </w:r>
    </w:p>
    <w:p>
      <w:r>
        <w:t>验证了：(1) 易理评分函数可形式化为可计算Oracle；(2) Grover振幅放大从64卦叠加态中以98.9%概率涌现吉卦；(3) 与YLYW经典决策一致。</w:t>
      </w:r>
    </w:p>
    <w:p>
      <w:r>
        <w:br w:type="page"/>
      </w:r>
    </w:p>
    <w:p>
      <w:pPr>
        <w:pStyle w:val="Heading1"/>
      </w:pPr>
      <w:r>
        <w:t>6  当前学术空白与本文定位</w:t>
      </w:r>
    </w:p>
    <w:p>
      <w:r>
        <w:t>已有工作分三个层次：哲学类比(玻尔/卡普拉)、经典易理模型(YLYW)、量子认知模型。</w:t>
      </w:r>
    </w:p>
    <w:p>
      <w:r>
        <w:t>本文填补了这三个层次的交汇空白：将《易经》作为先验知识体系与量子计算在工程层面融合，构建"量子-易理"涌现决策模型并完成原型验证——在现有文献中几乎为空白。</w:t>
      </w:r>
    </w:p>
    <w:p>
      <w:pPr>
        <w:pStyle w:val="Heading1"/>
      </w:pPr>
      <w:r>
        <w:t>7  讨论与展望</w:t>
      </w:r>
    </w:p>
    <w:p>
      <w:r>
        <w:t>必须坦率承认"道可道，非常道"的根本边界。《易经》终卦"未济"表明宇宙永远不会被一套封闭的规则计算殆尽。</w:t>
      </w:r>
    </w:p>
    <w:p>
      <w:r>
        <w:t>展望方向：Qiskit硬件验证、理论深化、与YLYW系统融合、AGI第三条路径探讨。</w:t>
      </w:r>
    </w:p>
    <w:p>
      <w:pPr>
        <w:pStyle w:val="Heading1"/>
      </w:pPr>
      <w:r>
        <w:t>8  结论</w:t>
      </w:r>
    </w:p>
    <w:p>
      <w:r>
        <w:t>本文系统揭示了量子计算与《易经》模型之间的三层数学同构关系，提出了QYUF工程构想，并通过原型验证实现了从28.1%到98.9%的涌现率。这一交叉地带具有极高的学术价值和工程潜力。</w:t>
      </w:r>
    </w:p>
    <w:p>
      <w:r>
        <w:br w:type="page"/>
      </w:r>
    </w:p>
    <w:p>
      <w:pPr>
        <w:pStyle w:val="Heading1"/>
      </w:pPr>
      <w:r>
        <w:t>参考文献</w:t>
      </w:r>
    </w:p>
    <w:p>
      <w:r>
        <w:t>[1] R.P. Feynman, The Character of Physical Law, MIT Press, 1965.</w:t>
      </w:r>
    </w:p>
    <w:p>
      <w:r>
        <w:t>[2] N. Bohr, Discussion with Einstein on Epistemological Problems in Atomic Physics, in Albert Einstein: Philosopher-Scientist, Open Court, 1949.</w:t>
      </w:r>
    </w:p>
    <w:p>
      <w:r>
        <w:t>[3] F. Capra, The Tao of Physics, Shambhala, 1975.</w:t>
      </w:r>
    </w:p>
    <w:p>
      <w:r>
        <w:t>[4] M.A. Nielsen, I.L. Chuang, Quantum Computation and Quantum Information, 10th Anniversary Edition, Cambridge University Press, 2010.</w:t>
      </w:r>
    </w:p>
    <w:p>
      <w:r>
        <w:t>[5] 马兴录课题组, YLYW: 一种基于《易经》先验符号知识的联邦式神经符号具身决策框架, 2026.</w:t>
      </w:r>
    </w:p>
    <w:p>
      <w:r>
        <w:t>[6] J.R. Busemeyer, P.D. Bruza, Quantum Models of Cognition and Decision, Cambridge University Press, 2015.</w:t>
      </w:r>
    </w:p>
    <w:p>
      <w:r>
        <w:t>[7] P.W. Anderson, More Is Different, Science, 177(4047):393-396, 1972.</w:t>
      </w:r>
    </w:p>
    <w:p>
      <w:r>
        <w:t>[8] L.K. Grover, A Fast Quantum Mechanical Algorithm for Database Search, STOC, 1996.</w:t>
      </w:r>
    </w:p>
    <w:p>
      <w:r>
        <w:t>[9] 马兴录课题组, QYUF: 量子易理统一框架原型验证代码, 青岛科技大学, 2026.</w:t>
      </w:r>
    </w:p>
    <w:p/>
    <w:p>
      <w:pPr>
        <w:jc w:val="center"/>
      </w:pPr>
      <w:r>
        <w:rPr>
          <w:color w:val="808080"/>
          <w:sz w:val="18"/>
        </w:rPr>
        <w:t>论文版本: v2.0 | 2026年7月 | 青岛科技大学 信息科学技术学院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