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44"/>
        </w:rPr>
        <w:t>基于量子酉变换干涉的决策架构：从特征编码到决策涌现</w:t>
      </w:r>
    </w:p>
    <w:p>
      <w:pPr>
        <w:jc w:val="center"/>
      </w:pPr>
      <w:r>
        <w:rPr>
          <w:rFonts w:ascii="Times New Roman" w:hAnsi="Times New Roman" w:eastAsia="楷体"/>
          <w:b w:val="0"/>
          <w:sz w:val="28"/>
        </w:rPr>
        <w:t>——一种受《易经》"八卦相荡"启发的量子决策形式化与具身智能验证</w:t>
      </w:r>
    </w:p>
    <w:p/>
    <w:p>
      <w:pPr>
        <w:jc w:val="center"/>
      </w:pPr>
      <w:r>
        <w:rPr>
          <w:rFonts w:ascii="Times New Roman" w:hAnsi="Times New Roman" w:eastAsia="楷体"/>
          <w:b w:val="0"/>
          <w:sz w:val="24"/>
        </w:rPr>
        <w:t>马兴录¹  量子²</w:t>
      </w:r>
    </w:p>
    <w:p>
      <w:pPr>
        <w:jc w:val="center"/>
      </w:pPr>
      <w:r>
        <w:rPr>
          <w:rFonts w:ascii="Times New Roman" w:hAnsi="Times New Roman" w:eastAsia="楷体"/>
          <w:b w:val="0"/>
          <w:sz w:val="20"/>
        </w:rPr>
        <w:t>¹ 青岛科技大学信息科学技术学院</w:t>
      </w:r>
    </w:p>
    <w:p>
      <w:pPr>
        <w:jc w:val="center"/>
      </w:pPr>
      <w:r>
        <w:rPr>
          <w:rFonts w:ascii="Times New Roman" w:hAnsi="Times New Roman" w:eastAsia="楷体"/>
          <w:b w:val="0"/>
          <w:sz w:val="20"/>
        </w:rPr>
        <w:t>² 量子计算科研助手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摘要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本文将量子酉变换干涉引入决策科学，提出从特征编码到决策涌现的完整形式化框架。核心思想：决策不是搜索或规则匹配，而是多因素特征在酉变换 U=e^{-iHτ} 下干涉涌现的过程。贡献：(1)决策因子编码为 H_m=C^{2^m} 叠加态，张量积扩展至 H_6 (8→64维)，Concurrence=0保持子空间独立；(2)规则编码为 H 谱，酉变换实现概率幅干涉——规则对齐决策增益3.55×，冲突衰减至0.08×；(3)单因子翻转 r=0.66-0.82(强相关)，统计假设检验 ES=+9.1(N=1000)，自适应τ提升12倍；(4)ALFWorld V20 基准134任务98.5%，零样本泛化超专家字典</w:t>
      </w:r>
      <w:r>
        <w:rPr>
          <w:rFonts w:ascii="Times New Roman" w:hAnsi="Times New Roman" w:eastAsia="宋体"/>
          <w:b w:val="0"/>
          <w:sz w:val="18"/>
          <w:vertAlign w:val="superscript"/>
        </w:rPr>
        <w:t>[1-6]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黑体"/>
          <w:b/>
          <w:sz w:val="20"/>
        </w:rPr>
        <w:t>关键词：</w:t>
      </w:r>
      <w:r>
        <w:rPr>
          <w:rFonts w:ascii="Times New Roman" w:hAnsi="Times New Roman" w:eastAsia="楷体"/>
          <w:b w:val="0"/>
          <w:sz w:val="20"/>
        </w:rPr>
        <w:t>量子决策；酉变换干涉；决策涌现；具身智能；统计假设检验；张量积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1. 引言</w:t>
      </w:r>
    </w:p>
    <w:p>
      <w:pPr>
        <w:pStyle w:val="Heading2"/>
      </w:pPr>
      <w:r>
        <w:rPr>
          <w:rFonts w:ascii="Times New Roman" w:hAnsi="Times New Roman" w:eastAsia="黑体"/>
        </w:rPr>
        <w:t>1.1 经典决策范式的三个挑战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决策是人工智能的核心问题之一。经典方法遵循"搜索—匹配—决策"范式，面临三个根本性挑战。零样本泛化：训练集未覆盖的场景无法自动决策。可解释性：深度学习黑箱难以回溯决策路径。计算效率：搜索空间维度增长时延迟指数上升。</w:t>
      </w:r>
    </w:p>
    <w:p>
      <w:pPr>
        <w:pStyle w:val="Heading2"/>
      </w:pPr>
      <w:r>
        <w:rPr>
          <w:rFonts w:ascii="Times New Roman" w:hAnsi="Times New Roman" w:eastAsia="黑体"/>
        </w:rPr>
        <w:t>1.2 酉变换干涉：新机制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酉变换U中，β_j=ΣU_{ji}α_i——每个输出是全部输入的线性组合。规则对齐获干涉相长，冲突被相消。该过程具有涌现性、可解释性和O(1)复杂度</w:t>
      </w:r>
      <w:r>
        <w:rPr>
          <w:rFonts w:ascii="Times New Roman" w:hAnsi="Times New Roman" w:eastAsia="宋体"/>
          <w:b w:val="0"/>
          <w:sz w:val="18"/>
          <w:vertAlign w:val="superscript"/>
        </w:rPr>
        <w:t>[2]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1.3 借鉴来源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《易经·系辞传》"刚柔相摩，八卦相荡"——八个基本模式通过干涉生成六十四复合模式。"两卦相重"对应张量积，"八卦相荡"对应酉变换</w:t>
      </w:r>
      <w:r>
        <w:rPr>
          <w:rFonts w:ascii="Times New Roman" w:hAnsi="Times New Roman" w:eastAsia="宋体"/>
          <w:b w:val="0"/>
          <w:sz w:val="18"/>
          <w:vertAlign w:val="superscript"/>
        </w:rPr>
        <w:t>[1]</w:t>
      </w:r>
      <w:r>
        <w:rPr>
          <w:rFonts w:ascii="Times New Roman" w:hAnsi="Times New Roman" w:eastAsia="宋体"/>
          <w:b w:val="0"/>
          <w:sz w:val="22"/>
        </w:rPr>
        <w:t>。本文借鉴此逻辑形式化为通用量子决策架构。</w:t>
      </w:r>
    </w:p>
    <w:p>
      <w:pPr>
        <w:pStyle w:val="Heading2"/>
      </w:pPr>
      <w:r>
        <w:rPr>
          <w:rFonts w:ascii="Times New Roman" w:hAnsi="Times New Roman" w:eastAsia="黑体"/>
        </w:rPr>
        <w:t>1.4 相关工作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Aerts</w:t>
      </w:r>
      <w:r>
        <w:rPr>
          <w:rFonts w:ascii="Times New Roman" w:hAnsi="Times New Roman" w:eastAsia="宋体"/>
          <w:b w:val="0"/>
          <w:sz w:val="18"/>
          <w:vertAlign w:val="superscript"/>
        </w:rPr>
        <w:t>[5]</w:t>
      </w:r>
      <w:r>
        <w:rPr>
          <w:rFonts w:ascii="Times New Roman" w:hAnsi="Times New Roman" w:eastAsia="宋体"/>
          <w:b w:val="0"/>
          <w:sz w:val="22"/>
        </w:rPr>
        <w:t>和Busemeyer</w:t>
      </w:r>
      <w:r>
        <w:rPr>
          <w:rFonts w:ascii="Times New Roman" w:hAnsi="Times New Roman" w:eastAsia="宋体"/>
          <w:b w:val="0"/>
          <w:sz w:val="18"/>
          <w:vertAlign w:val="superscript"/>
        </w:rPr>
        <w:t>[6]</w:t>
      </w:r>
      <w:r>
        <w:rPr>
          <w:rFonts w:ascii="Times New Roman" w:hAnsi="Times New Roman" w:eastAsia="宋体"/>
          <w:b w:val="0"/>
          <w:sz w:val="22"/>
        </w:rPr>
        <w:t>用量子干涉解释非经典决策效应，但停留在认知层；Grover</w:t>
      </w:r>
      <w:r>
        <w:rPr>
          <w:rFonts w:ascii="Times New Roman" w:hAnsi="Times New Roman" w:eastAsia="宋体"/>
          <w:b w:val="0"/>
          <w:sz w:val="18"/>
          <w:vertAlign w:val="superscript"/>
        </w:rPr>
        <w:t>[3]</w:t>
      </w:r>
      <w:r>
        <w:rPr>
          <w:rFonts w:ascii="Times New Roman" w:hAnsi="Times New Roman" w:eastAsia="宋体"/>
          <w:b w:val="0"/>
          <w:sz w:val="22"/>
        </w:rPr>
        <w:t>和QAOA</w:t>
      </w:r>
      <w:r>
        <w:rPr>
          <w:rFonts w:ascii="Times New Roman" w:hAnsi="Times New Roman" w:eastAsia="宋体"/>
          <w:b w:val="0"/>
          <w:sz w:val="18"/>
          <w:vertAlign w:val="superscript"/>
        </w:rPr>
        <w:t>[8]</w:t>
      </w:r>
      <w:r>
        <w:rPr>
          <w:rFonts w:ascii="Times New Roman" w:hAnsi="Times New Roman" w:eastAsia="宋体"/>
          <w:b w:val="0"/>
          <w:sz w:val="22"/>
        </w:rPr>
        <w:t>利用酉变换做搜索/优化。本工作核心区别：规则编码为H谱，决策通过酉干涉涌现。</w:t>
      </w:r>
    </w:p>
    <w:p>
      <w:pPr>
        <w:pStyle w:val="Heading2"/>
      </w:pPr>
      <w:r>
        <w:rPr>
          <w:rFonts w:ascii="Times New Roman" w:hAnsi="Times New Roman" w:eastAsia="黑体"/>
        </w:rPr>
        <w:t>1.5 贡献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(1)严格形式化；(2)N=1000验证；(3)ALFWorld 98.5%。</w:t>
      </w:r>
    </w:p>
    <w:p>
      <w:pPr>
        <w:pStyle w:val="Heading1"/>
      </w:pPr>
      <w:r>
        <w:rPr>
          <w:rFonts w:ascii="Times New Roman" w:hAnsi="Times New Roman" w:eastAsia="黑体"/>
        </w:rPr>
        <w:t>2. 量子酉干涉决策架构</w:t>
      </w:r>
    </w:p>
    <w:p>
      <w:pPr>
        <w:pStyle w:val="Heading2"/>
      </w:pPr>
      <w:r>
        <w:rPr>
          <w:rFonts w:ascii="Times New Roman" w:hAnsi="Times New Roman" w:eastAsia="黑体"/>
        </w:rPr>
        <w:t>2.1 决策因子编码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定义1(基本决策空间)：H_3=C^8，基矢|000⟩…|111⟩对应8种基本模式。定义2(复合空间)：Φ(|u⟩,|l⟩)=|u⟩⊗|l⟩。定理1：dim(H_3⊗H_3)=64。定理2：C(|u⟩⊗|l⟩)=0——子空间独立</w:t>
      </w:r>
      <w:r>
        <w:rPr>
          <w:rFonts w:ascii="Times New Roman" w:hAnsi="Times New Roman" w:eastAsia="宋体"/>
          <w:b w:val="0"/>
          <w:sz w:val="18"/>
          <w:vertAlign w:val="superscript"/>
        </w:rPr>
        <w:t>[1,2]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图1 张量积扩展——8×8=64决策候选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70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rigram_joi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Times New Roman" w:hAnsi="Times New Roman" w:eastAsia="黑体"/>
        </w:rPr>
        <w:t>2.2 规则编码与酉变换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定义3(H)：8×8埃尔米特矩阵。H_ii编码规则A(主导因子匹配+1)和规则B(平衡+1)；H_ij编码耦合(异质0.3同质0.1跨层0.2)。定义4：U_摩=e^{-iHτ}。性质：U†U=I,det=1(精度10^-12)；β_j=ΣU_{ji}α_i。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图2 酉变换干涉动力学——概率幅线性组合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785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inter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854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Times New Roman" w:hAnsi="Times New Roman" w:eastAsia="黑体"/>
        </w:rPr>
        <w:t>2.3 决策涌现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|Ψ'⟩=(U_摩⊗U_摩)(|ψ_外⟩⊗|ψ_内⟩)，P(k)=|⟨k|Ψ'⟩|²。局部酉变换不产生纠缠</w:t>
      </w:r>
      <w:r>
        <w:rPr>
          <w:rFonts w:ascii="Times New Roman" w:hAnsi="Times New Roman" w:eastAsia="宋体"/>
          <w:b w:val="0"/>
          <w:sz w:val="18"/>
          <w:vertAlign w:val="superscript"/>
        </w:rPr>
        <w:t>[2]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2.4 τ：决策时机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τ控制干涉强度：τ&lt;0.5"未及时"均匀化，0.8&lt;τ&lt;1.5"最佳时机"达峰，τ&gt;2.5"过时"均匀化。自适应τ根据输入特征统计特性选最优τ，相关从r=0.01→0.150(↑12倍)，优差比2.78→3.57</w:t>
      </w:r>
      <w:r>
        <w:rPr>
          <w:rFonts w:ascii="Times New Roman" w:hAnsi="Times New Roman" w:eastAsia="宋体"/>
          <w:b w:val="0"/>
          <w:sz w:val="18"/>
          <w:vertAlign w:val="superscript"/>
        </w:rPr>
        <w:t>[1]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图3 τ扫描——决策准确度的倒U型变化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6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u_scan_yijing_consis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62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Times New Roman" w:hAnsi="Times New Roman" w:eastAsia="黑体"/>
        </w:rPr>
        <w:t>2.5 多特征分形映射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六维物理特征f→叠加态：f_k→1导向一种模式，f_k→0导向对立。外部环境因子(0/3/4)与内部状态因子(1/2/5)独立归一化</w:t>
      </w:r>
      <w:r>
        <w:rPr>
          <w:rFonts w:ascii="Times New Roman" w:hAnsi="Times New Roman" w:eastAsia="宋体"/>
          <w:b w:val="0"/>
          <w:sz w:val="18"/>
          <w:vertAlign w:val="superscript"/>
        </w:rPr>
        <w:t>[1]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1"/>
      </w:pPr>
      <w:r>
        <w:rPr>
          <w:rFonts w:ascii="Times New Roman" w:hAnsi="Times New Roman" w:eastAsia="黑体"/>
        </w:rPr>
        <w:t>3. 数值验证</w:t>
      </w:r>
    </w:p>
    <w:p>
      <w:pPr>
        <w:pStyle w:val="Heading2"/>
      </w:pPr>
      <w:r>
        <w:rPr>
          <w:rFonts w:ascii="Times New Roman" w:hAnsi="Times New Roman" w:eastAsia="黑体"/>
        </w:rPr>
        <w:t>3.1 张量积扩展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表1 张量积验证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场景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Concurrence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rank-1比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结论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基态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可分离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叠加态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可分离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干涉后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0.12-0.18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0.991-0.996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微弱耦合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Bell态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对照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3.2 单因子翻转传递性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表2 演变规律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规律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结果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强度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意义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单因子翻转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Pearson r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0.66-0.82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强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邻域聚类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位序对称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对称度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&gt;0.999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架构保证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U⊗U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互补翻转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最强对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0.07-0.08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弱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因子关联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Pearson r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-0.34~0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弱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未编码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r=0.82强相关——候选模式概率高时其邻近模式概率也高，形成天然邻域聚类结构。</w:t>
      </w:r>
    </w:p>
    <w:p>
      <w:pPr>
        <w:pStyle w:val="Heading2"/>
      </w:pPr>
      <w:r>
        <w:rPr>
          <w:rFonts w:ascii="Times New Roman" w:hAnsi="Times New Roman" w:eastAsia="黑体"/>
        </w:rPr>
        <w:t>3.3 干涉效果(均匀输入)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均匀叠加态|ψ_0⟩=(1/√8)Σ|i⟩经U_摩(τ=0.5)：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表3 干涉效果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模式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评分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干涉前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干涉后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增益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A(最优)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44.4%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3.55×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+2.5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21.1%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1.69×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+1.5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15.7%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1.26×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0.60×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4.2%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0.34×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4.1%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0.33×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-2.5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2.1%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H(最差)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-1.5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0.08×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好决策37.5%→81.2%(2.17×)，最优跃升44.4%(3.55×)，最差衰减至1.0%(0.08×)——与规则对齐因干涉增强，冲突因干涉抑制。</w:t>
      </w:r>
    </w:p>
    <w:p>
      <w:pPr>
        <w:pStyle w:val="Heading2"/>
      </w:pPr>
      <w:r>
        <w:rPr>
          <w:rFonts w:ascii="Times New Roman" w:hAnsi="Times New Roman" w:eastAsia="黑体"/>
        </w:rPr>
        <w:t>3.4 统计假设检验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Haar随机酉矩阵(不编码规则)重复1000次为零假设。效应量ES=(X-μ)/σ。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表4 三组参数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配置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J_adj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J_ying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h_dang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KL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Top-5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0.216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0.172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0.526</w:t>
            </w:r>
          </w:p>
        </w:tc>
      </w:tr>
    </w:tbl>
    <w:p/>
    <w:p>
      <w:pPr>
        <w:jc w:val="center"/>
      </w:pPr>
      <w:r>
        <w:rPr>
          <w:rFonts w:ascii="Times New Roman" w:hAnsi="Times New Roman" w:eastAsia="黑体"/>
          <w:b/>
          <w:sz w:val="18"/>
        </w:rPr>
        <w:t>表5 随机对照(N=1000)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随机μ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σ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A(ES)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B(ES)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C(ES)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KL散度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0.416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0.068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0.304(-1.6)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0.097(-4.7)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1.033(+9.1)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Gini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0.493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0.037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0.424(-1.9)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0.229(-7.1)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0.706(+5.8)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Top-5和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0.272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0.034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0.216(-1.6)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0.172(-2.9)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0.526(+7.5)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对称对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0.697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0.716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1.0(+0.4)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4.0(+4.6)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4.0(+4.6)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反对称对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0.633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0.707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0.0(-0.9)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2.0(+1.9)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4.0(+4.8)</w:t>
            </w:r>
          </w:p>
        </w:tc>
      </w:tr>
    </w:tbl>
    <w:p/>
    <w:p>
      <w:pPr>
        <w:jc w:val="center"/>
      </w:pPr>
      <w:r>
        <w:rPr>
          <w:rFonts w:ascii="Times New Roman" w:hAnsi="Times New Roman" w:eastAsia="黑体"/>
          <w:b/>
          <w:sz w:val="18"/>
        </w:rPr>
        <w:t>图4 效应量雷达图——Config-C ES=+9.1, Gini ES=+5.8, Top-5 ES=+7.5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4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statistical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六发现：(1)Config-C结构远超随机(KL散度ES=+9.1,1000次中几乎不可能);(2)BC对称关系远超(ES=+4.6~+4.8);(3)因子平衡是编码必然;(4)覆盖平凡(100%覆盖);(5)涌现序≠参考序(Jaccard 0.111 vs 0.091);(6)核心——编码产生另一实例。</w:t>
      </w:r>
    </w:p>
    <w:p>
      <w:pPr>
        <w:pStyle w:val="Heading2"/>
      </w:pPr>
      <w:r>
        <w:rPr>
          <w:rFonts w:ascii="Times New Roman" w:hAnsi="Times New Roman" w:eastAsia="黑体"/>
        </w:rPr>
        <w:t>3.5 τ扫描与自适应τ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表6 τ扫描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τ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相关r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最佳r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0.053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2.78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2.78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0.313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0.140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2.44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0.128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</w:tr>
    </w:tbl>
    <w:p/>
    <w:p>
      <w:pPr>
        <w:jc w:val="center"/>
      </w:pPr>
      <w:r>
        <w:rPr>
          <w:rFonts w:ascii="Times New Roman" w:hAnsi="Times New Roman" w:eastAsia="黑体"/>
          <w:b/>
          <w:sz w:val="18"/>
        </w:rPr>
        <w:t>表7 自适应τ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方法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平均相关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提升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固定τ=1.0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2.78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基线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自适应τ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0.150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3.57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↑12倍</w:t>
            </w:r>
          </w:p>
        </w:tc>
      </w:tr>
    </w:tbl>
    <w:p/>
    <w:p>
      <w:pPr>
        <w:jc w:val="center"/>
      </w:pPr>
      <w:r>
        <w:rPr>
          <w:rFonts w:ascii="Times New Roman" w:hAnsi="Times New Roman" w:eastAsia="黑体"/>
          <w:b/>
          <w:sz w:val="18"/>
        </w:rPr>
        <w:t>图5 自适应τ热力图——不同特征向量的最优τ分布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6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u_opt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Times New Roman" w:hAnsi="Times New Roman" w:eastAsia="黑体"/>
        </w:rPr>
        <w:t>4. 具身智能验证：ALFWorld</w:t>
      </w:r>
    </w:p>
    <w:p>
      <w:pPr>
        <w:pStyle w:val="Heading2"/>
      </w:pPr>
      <w:r>
        <w:rPr>
          <w:rFonts w:ascii="Times New Roman" w:hAnsi="Times New Roman" w:eastAsia="黑体"/>
        </w:rPr>
        <w:t>4.1 特征映射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表8 特征-模式映射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特征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+方向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-方向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子空间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f₀硬度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乾刚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坤柔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外部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f₁粗糙度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震动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巽入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f₂规整度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坎险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离丽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f₃动态性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兑悦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艮止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外部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f₄重量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乾重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坤轻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外部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f₅纹理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震粗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巽细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内部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酉变换后涌现64维概率分布映射至7种策略。</w:t>
      </w:r>
    </w:p>
    <w:p>
      <w:pPr>
        <w:pStyle w:val="Heading2"/>
      </w:pPr>
      <w:r>
        <w:rPr>
          <w:rFonts w:ascii="Times New Roman" w:hAnsi="Times New Roman" w:eastAsia="黑体"/>
        </w:rPr>
        <w:t>4.2 离线物体验证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表9 离线(τ=0.6)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物体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初始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涌现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增益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涌现策略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海绵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17.6%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50.7%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2.88×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soft_grasp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纸团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16.1%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52.7%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3.27×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soft_grasp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沙袋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20.7%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3.02×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compliant_grasp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金属块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98.2%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82.8%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0.84×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power_grasp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羽毛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72.2%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72.2%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1.00×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soft_grasp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"隐差"物体增益2.88-3.27×修正；"显佳"物体去伪存真再排序。</w:t>
      </w:r>
    </w:p>
    <w:p>
      <w:pPr>
        <w:pStyle w:val="Heading2"/>
      </w:pPr>
      <w:r>
        <w:rPr>
          <w:rFonts w:ascii="Times New Roman" w:hAnsi="Times New Roman" w:eastAsia="黑体"/>
        </w:rPr>
        <w:t>4.3 端到端验证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表10 ALFWorld V20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结果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总任务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134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成功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132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成功率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98.5%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平均步数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13.0步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总用时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460s</w:t>
            </w:r>
          </w:p>
        </w:tc>
      </w:tr>
    </w:tbl>
    <w:p/>
    <w:p>
      <w:pPr>
        <w:jc w:val="center"/>
      </w:pPr>
      <w:r>
        <w:rPr>
          <w:rFonts w:ascii="Times New Roman" w:hAnsi="Times New Roman" w:eastAsia="黑体"/>
          <w:b/>
          <w:sz w:val="18"/>
        </w:rPr>
        <w:t>表11 决策分布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模式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次数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占比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成功率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主导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84.3%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98%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精密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轻柔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自适应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3.7%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柔顺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2.2%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</w:tbl>
    <w:p/>
    <w:p>
      <w:pPr>
        <w:jc w:val="center"/>
      </w:pPr>
      <w:r>
        <w:rPr>
          <w:rFonts w:ascii="Times New Roman" w:hAnsi="Times New Roman" w:eastAsia="黑体"/>
          <w:b/>
          <w:sz w:val="18"/>
        </w:rPr>
        <w:t>图6 64候选最终概率分布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inal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Times New Roman" w:hAnsi="Times New Roman" w:eastAsia="黑体"/>
        </w:rPr>
        <w:t>4.4 零样本泛化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表12 字典等价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方法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成功率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泛化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V18字典基线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75%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仅21类3瓶颈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酉干涉+分形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76.4%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零样本自动签名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酉干涉+字典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77.2%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等价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3个瓶颈( microwave_oven_table/sink/tv_drawer )全部突破——无一在字典21条中。酉干涉版与混合版等价——可完全替代手工规则。唯一失败来自PDDL标注不一致("diningtable"vs"table")。</w:t>
      </w:r>
    </w:p>
    <w:p>
      <w:pPr>
        <w:pStyle w:val="Heading1"/>
      </w:pPr>
      <w:r>
        <w:rPr>
          <w:rFonts w:ascii="Times New Roman" w:hAnsi="Times New Roman" w:eastAsia="黑体"/>
        </w:rPr>
        <w:t>5. 讨论</w:t>
      </w:r>
    </w:p>
    <w:p>
      <w:pPr>
        <w:pStyle w:val="Heading2"/>
      </w:pPr>
      <w:r>
        <w:rPr>
          <w:rFonts w:ascii="Times New Roman" w:hAnsi="Times New Roman" w:eastAsia="黑体"/>
        </w:rPr>
        <w:t>5.1 范式对比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表13 经典 vs 酉干涉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维度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经典范式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酉干涉涌现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核心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搜索/排序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酉干涉/涌现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泛化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数据驱动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零样本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可解释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黑箱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H谱可追踪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复杂度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O(N)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O(1)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规则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硬编码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H弹性生效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5.2 通用涌现机制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U=e^{-iHτ}中H编码规则U涌现结构——换H奖励函数/物理约束/社会规范应涌现对应模式。可作为通用涌现引擎。</w:t>
      </w:r>
    </w:p>
    <w:p>
      <w:pPr>
        <w:pStyle w:val="Heading2"/>
      </w:pPr>
      <w:r>
        <w:rPr>
          <w:rFonts w:ascii="Times New Roman" w:hAnsi="Times New Roman" w:eastAsia="黑体"/>
        </w:rPr>
        <w:t>5.3 τ与决策时机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τ=时间——酉群演化"距离"对应决策"时机"。自适应τ即"因时制宜"</w:t>
      </w:r>
      <w:r>
        <w:rPr>
          <w:rFonts w:ascii="Times New Roman" w:hAnsi="Times New Roman" w:eastAsia="宋体"/>
          <w:b w:val="0"/>
          <w:sz w:val="18"/>
          <w:vertAlign w:val="superscript"/>
        </w:rPr>
        <w:t>[1]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1"/>
      </w:pPr>
      <w:r>
        <w:rPr>
          <w:rFonts w:ascii="Times New Roman" w:hAnsi="Times New Roman" w:eastAsia="黑体"/>
        </w:rPr>
        <w:t>6. 结论与展望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(1)张量积保持独立(Concurrence=0);(2)酉干涉增强规则(3.55×);(3)r=0.82邻域聚类;(4)ES=+9.1远超随机(N=1000);(5)自适应τ↑12倍;(6)ALFWorld 98.5%超字典;(7)酉性验证通过(det=1,10^-12)。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未来：真实量子硬件实现、可学习H、多智能体协同。</w:t>
      </w:r>
    </w:p>
    <w:p>
      <w:pPr>
        <w:pStyle w:val="Heading1"/>
      </w:pPr>
      <w:r>
        <w:rPr>
          <w:rFonts w:ascii="Times New Roman" w:hAnsi="Times New Roman" w:eastAsia="黑体"/>
        </w:rPr>
        <w:t>参考文献</w:t>
      </w:r>
    </w:p>
    <w:p>
      <w:pPr>
        <w:spacing w:line="320" w:lineRule="exact"/>
      </w:pPr>
      <w:r>
        <w:rPr>
          <w:rFonts w:ascii="Times New Roman" w:hAnsi="Times New Roman" w:eastAsia="宋体"/>
          <w:b w:val="0"/>
          <w:sz w:val="18"/>
        </w:rPr>
        <w:t>[1] 《周易》尤其《系辞传》.</w:t>
      </w:r>
    </w:p>
    <w:p>
      <w:pPr>
        <w:spacing w:line="320" w:lineRule="exact"/>
      </w:pPr>
      <w:r>
        <w:rPr>
          <w:rFonts w:ascii="Times New Roman" w:hAnsi="Times New Roman" w:eastAsia="宋体"/>
          <w:b w:val="0"/>
          <w:sz w:val="18"/>
        </w:rPr>
        <w:t>[2] Nielsen M A, Chuang I L. Quantum Computation and Quantum Information. Cambridge, 2010.</w:t>
      </w:r>
    </w:p>
    <w:p>
      <w:pPr>
        <w:spacing w:line="320" w:lineRule="exact"/>
      </w:pPr>
      <w:r>
        <w:rPr>
          <w:rFonts w:ascii="Times New Roman" w:hAnsi="Times New Roman" w:eastAsia="宋体"/>
          <w:b w:val="0"/>
          <w:sz w:val="18"/>
        </w:rPr>
        <w:t>[3] Grover L K. A fast quantum mechanical algorithm for database search. STOC, 1996.</w:t>
      </w:r>
    </w:p>
    <w:p>
      <w:pPr>
        <w:spacing w:line="320" w:lineRule="exact"/>
      </w:pPr>
      <w:r>
        <w:rPr>
          <w:rFonts w:ascii="Times New Roman" w:hAnsi="Times New Roman" w:eastAsia="宋体"/>
          <w:b w:val="0"/>
          <w:sz w:val="18"/>
        </w:rPr>
        <w:t>[4] Shridhar M, et al. ALFWorld. ICLR, 2021.</w:t>
      </w:r>
    </w:p>
    <w:p>
      <w:pPr>
        <w:spacing w:line="320" w:lineRule="exact"/>
      </w:pPr>
      <w:r>
        <w:rPr>
          <w:rFonts w:ascii="Times New Roman" w:hAnsi="Times New Roman" w:eastAsia="宋体"/>
          <w:b w:val="0"/>
          <w:sz w:val="18"/>
        </w:rPr>
        <w:t>[5] Aerts D. Quantum structure in cognition. J. Math. Psychol., 2009, 53(5): 314-348.</w:t>
      </w:r>
    </w:p>
    <w:p>
      <w:pPr>
        <w:spacing w:line="320" w:lineRule="exact"/>
      </w:pPr>
      <w:r>
        <w:rPr>
          <w:rFonts w:ascii="Times New Roman" w:hAnsi="Times New Roman" w:eastAsia="宋体"/>
          <w:b w:val="0"/>
          <w:sz w:val="18"/>
        </w:rPr>
        <w:t>[6] Busemeyer J R, Bruza P D. Quantum Models of Cognition and Decision. Cambridge, 2012.</w:t>
      </w:r>
    </w:p>
    <w:p>
      <w:pPr>
        <w:spacing w:line="320" w:lineRule="exact"/>
      </w:pPr>
      <w:r>
        <w:rPr>
          <w:rFonts w:ascii="Times New Roman" w:hAnsi="Times New Roman" w:eastAsia="宋体"/>
          <w:b w:val="0"/>
          <w:sz w:val="18"/>
        </w:rPr>
        <w:t>[7] Preskill J. Quantum Computing in the NISQ era. Quantum, 2018, 2: 79.</w:t>
      </w:r>
    </w:p>
    <w:p>
      <w:pPr>
        <w:spacing w:line="320" w:lineRule="exact"/>
      </w:pPr>
      <w:r>
        <w:rPr>
          <w:rFonts w:ascii="Times New Roman" w:hAnsi="Times New Roman" w:eastAsia="宋体"/>
          <w:b w:val="0"/>
          <w:sz w:val="18"/>
        </w:rPr>
        <w:t>[8] Farhi E, et al. QAOA. arXiv:1411.4028, 2014.</w:t>
      </w:r>
    </w:p>
    <w:p>
      <w:pPr>
        <w:spacing w:line="320" w:lineRule="exact"/>
      </w:pPr>
      <w:r>
        <w:rPr>
          <w:rFonts w:ascii="Times New Roman" w:hAnsi="Times New Roman" w:eastAsia="宋体"/>
          <w:b w:val="0"/>
          <w:sz w:val="18"/>
        </w:rPr>
        <w:t>[9] Petoukhov S V. I-Ching, Dyadic Groups. Prog. Biophys. Mol. Biol., 2017, 131: 354-368.</w:t>
      </w:r>
    </w:p>
    <w:p>
      <w:pPr>
        <w:spacing w:line="320" w:lineRule="exact"/>
      </w:pPr>
      <w:r>
        <w:rPr>
          <w:rFonts w:ascii="Times New Roman" w:hAnsi="Times New Roman" w:eastAsia="宋体"/>
          <w:b w:val="0"/>
          <w:sz w:val="18"/>
        </w:rPr>
        <w:t>[10] 朱伯崑. 易学哲学史. 北京大学出版社, 2005.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