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eastAsia="黑体"/>
          <w:b/>
          <w:sz w:val="44"/>
        </w:rPr>
        <w:t>基于量子酉变换干涉的决策架构：从特征编码到决策涌现</w:t>
      </w:r>
    </w:p>
    <w:p>
      <w:pPr>
        <w:jc w:val="center"/>
      </w:pPr>
      <w:r>
        <w:rPr>
          <w:rFonts w:ascii="Times New Roman" w:hAnsi="Times New Roman" w:eastAsia="楷体"/>
          <w:b w:val="0"/>
          <w:sz w:val="28"/>
        </w:rPr>
        <w:t>——一种受《易经》"八卦相荡"启发的量子决策形式化与具身智能验证</w:t>
      </w:r>
    </w:p>
    <w:p/>
    <w:p>
      <w:pPr>
        <w:jc w:val="center"/>
      </w:pPr>
      <w:r>
        <w:rPr>
          <w:rFonts w:ascii="Times New Roman" w:hAnsi="Times New Roman" w:eastAsia="楷体"/>
          <w:b w:val="0"/>
          <w:sz w:val="24"/>
        </w:rPr>
        <w:t>马兴录¹  量子²</w:t>
      </w:r>
    </w:p>
    <w:p>
      <w:pPr>
        <w:jc w:val="center"/>
      </w:pPr>
      <w:r>
        <w:rPr>
          <w:rFonts w:ascii="Times New Roman" w:hAnsi="Times New Roman" w:eastAsia="楷体"/>
          <w:b w:val="0"/>
          <w:sz w:val="20"/>
        </w:rPr>
        <w:t>¹ 青岛科技大学信息科学技术学院</w:t>
      </w:r>
    </w:p>
    <w:p>
      <w:pPr>
        <w:jc w:val="center"/>
      </w:pPr>
      <w:r>
        <w:rPr>
          <w:rFonts w:ascii="Times New Roman" w:hAnsi="Times New Roman" w:eastAsia="楷体"/>
          <w:b w:val="0"/>
          <w:sz w:val="20"/>
        </w:rPr>
        <w:t>² 量子计算科研助手</w:t>
      </w:r>
    </w:p>
    <w:p>
      <w:r>
        <w:br w:type="page"/>
      </w:r>
    </w:p>
    <w:p>
      <w:pPr>
        <w:pStyle w:val="Heading2"/>
      </w:pPr>
      <w:r>
        <w:rPr>
          <w:rFonts w:ascii="Times New Roman" w:hAnsi="Times New Roman" w:eastAsia="黑体"/>
        </w:rPr>
        <w:t>1. 引言</w:t>
      </w:r>
    </w:p>
    <w:p>
      <w:pPr>
        <w:spacing w:line="380" w:lineRule="exact" w:after="80"/>
        <w:ind w:firstLine="440"/>
      </w:pPr>
      <w:r>
        <w:rPr>
          <w:rFonts w:ascii="Times New Roman" w:hAnsi="Times New Roman" w:eastAsia="宋体"/>
          <w:b w:val="0"/>
          <w:sz w:val="22"/>
        </w:rPr>
        <w:t>### 1.1 经典决策范式的三个根本性挑战</w:t>
      </w:r>
    </w:p>
    <w:p>
      <w:pPr>
        <w:spacing w:line="380" w:lineRule="exact" w:after="80"/>
        <w:ind w:firstLine="440"/>
      </w:pPr>
      <w:r>
        <w:rPr>
          <w:rFonts w:ascii="Times New Roman" w:hAnsi="Times New Roman" w:eastAsia="宋体"/>
          <w:b w:val="0"/>
          <w:sz w:val="22"/>
        </w:rPr>
        <w:t>决策——在多个可行选项中做出选择——是人工智能的核心问题之一，也是人类智能的基础能力。无论在机器人控制、自动驾驶还是推荐系统中，决策的质量直接决定了系统的整体表现。经典决策方法——包括基于规则的专家系统、基于搜索的规划算法和基于学习的深度神经网络——在本质上都遵循着"搜索—匹配—决策"的范式：在预定义的决策空间中搜索最优解，从训练数据中学习输入到输出的映射函数，或者通过硬编码的if-then规则逐一匹配决策条件。</w:t>
      </w:r>
    </w:p>
    <w:p>
      <w:pPr>
        <w:spacing w:line="380" w:lineRule="exact" w:after="80"/>
        <w:ind w:firstLine="440"/>
      </w:pPr>
      <w:r>
        <w:rPr>
          <w:rFonts w:ascii="Times New Roman" w:hAnsi="Times New Roman" w:eastAsia="宋体"/>
          <w:b w:val="0"/>
          <w:sz w:val="22"/>
        </w:rPr>
        <w:t>这一范式自20世纪50年代人工智能研究兴起以来一直是主流，在棋类博弈、医疗诊断、供应链优化等领域取得了显著成功。然而，随着应用场景从封闭世界转向开放世界，经典范式面临三个根本性挑战。</w:t>
      </w:r>
    </w:p>
    <w:p>
      <w:pPr>
        <w:spacing w:line="380" w:lineRule="exact" w:after="80"/>
        <w:ind w:firstLine="440"/>
      </w:pPr>
      <w:r>
        <w:rPr>
          <w:rFonts w:ascii="Times New Roman" w:hAnsi="Times New Roman" w:eastAsia="宋体"/>
          <w:b w:val="0"/>
          <w:sz w:val="22"/>
        </w:rPr>
        <w:t>**第一个挑战是零样本泛化问题。** 专家系统的if-then规则是基于领域知识手工编码的——每条规则对应一个特定的情境。当系统遇到不在规则库中的情境时（例如，一个从未见过的容器-物体组合），它无法自动生成合理的决策。深度学习方法虽然在一定程度上缓解了这一问题，但其依赖大量标注训练数据，测试集与训练集的分布偏移仍然是最致命的性能下降原因。例如，在具身智能领域中，一个机械臂学会了抓取厨房中的杯子，但面对浴室中的杯子时，相似的物理特征可能触发完全不同的抓取策略——经典方法无法在未见场景中自动泛化。</w:t>
      </w:r>
    </w:p>
    <w:p>
      <w:pPr>
        <w:spacing w:line="380" w:lineRule="exact" w:after="80"/>
        <w:ind w:firstLine="440"/>
      </w:pPr>
      <w:r>
        <w:rPr>
          <w:rFonts w:ascii="Times New Roman" w:hAnsi="Times New Roman" w:eastAsia="宋体"/>
          <w:b w:val="0"/>
          <w:sz w:val="22"/>
        </w:rPr>
        <w:t>**第二个挑战是可解释性问题。** 深度神经网络虽然在图像识别、自然语言处理等任务中取得了突破性的性能，但其"黑箱"特性使得决策路径几乎无法回溯。为什么网络选择了A而不是B？哪些输入特征在决策中起到了决定性作用？对于需要可审计性的应用——医疗诊断、司法判决、金融风控——这种不可解释性是不可接受的。正因如此，模型可解释性研究近年来成为人工智能领域的前沿热点，但它本质上是在"先用黑箱做决策、再试图解释"——如果选择是一种更透明的机制，我们根本不需要事后的可解释性。</w:t>
      </w:r>
    </w:p>
    <w:p>
      <w:pPr>
        <w:spacing w:line="380" w:lineRule="exact" w:after="80"/>
        <w:ind w:firstLine="440"/>
      </w:pPr>
      <w:r>
        <w:rPr>
          <w:rFonts w:ascii="Times New Roman" w:hAnsi="Times New Roman" w:eastAsia="宋体"/>
          <w:b w:val="0"/>
          <w:sz w:val="22"/>
        </w:rPr>
        <w:t>**第三个挑战是计算效率问题。** 搜索空间维度增长时，经典方法的计算复杂度呈指数级上升。以ALFWorld具身智能基准为例，一个机械臂抓取任务涉及物体选择、容器选择、操作类型选择、力控参数选择等多个维度，每个维度有多个候选值——搜索空间轻易超过10^3。对于需要实时决策的场景，这种决策延迟是致命的。</w:t>
      </w:r>
    </w:p>
    <w:p>
      <w:pPr>
        <w:spacing w:line="380" w:lineRule="exact" w:after="80"/>
        <w:ind w:firstLine="440"/>
      </w:pPr>
      <w:r>
        <w:rPr>
          <w:rFonts w:ascii="Times New Roman" w:hAnsi="Times New Roman" w:eastAsia="宋体"/>
          <w:b w:val="0"/>
          <w:sz w:val="22"/>
        </w:rPr>
        <w:t>### 1.2 酉变换干涉：第三条道路</w:t>
      </w:r>
    </w:p>
    <w:p>
      <w:pPr>
        <w:spacing w:line="380" w:lineRule="exact" w:after="80"/>
        <w:ind w:firstLine="440"/>
      </w:pPr>
      <w:r>
        <w:rPr>
          <w:rFonts w:ascii="Times New Roman" w:hAnsi="Times New Roman" w:eastAsia="宋体"/>
          <w:b w:val="0"/>
          <w:sz w:val="22"/>
        </w:rPr>
        <w:t>量子力学中的酉变换干涉提供了一种与上述范式截然不同的机制。理解这一机制需要从量子力学的基本原理出发。在量子力学中，一个系统由希尔伯特空间中的一个归一化向量描述——这个向量被称为态矢量。态矢量的每个分量是概率幅，概率幅的平方模给出了对应状态被观测到的概率。当系统经历酉变换U时，变换后的态矢量|ψ'⟩是变换前|ψ_0⟩和酉矩阵U的矩阵乘积：|ψ'⟩ = U|ψ_0⟩。展开为分量形式，即β_j = Σ_i U_{ji} α_i——每个输出概率幅β_j是所有输入概率幅α_i以酉矩阵元素U_{ji}为系数的线性组合</w:t>
      </w:r>
      <w:r>
        <w:rPr>
          <w:rFonts w:ascii="Times New Roman" w:hAnsi="Times New Roman" w:eastAsia="宋体"/>
          <w:b w:val="0"/>
          <w:sz w:val="18"/>
          <w:vertAlign w:val="superscript"/>
        </w:rPr>
        <w:t>[2]</w:t>
      </w:r>
      <w:r>
        <w:rPr>
          <w:rFonts w:ascii="Times New Roman" w:hAnsi="Times New Roman" w:eastAsia="宋体"/>
          <w:b w:val="0"/>
          <w:sz w:val="22"/>
        </w:rPr>
        <w:t>。</w:t>
      </w:r>
    </w:p>
    <w:p>
      <w:pPr>
        <w:spacing w:line="380" w:lineRule="exact" w:after="80"/>
        <w:ind w:firstLine="440"/>
      </w:pPr>
      <w:r>
        <w:rPr>
          <w:rFonts w:ascii="Times New Roman" w:hAnsi="Times New Roman" w:eastAsia="宋体"/>
          <w:b w:val="0"/>
          <w:sz w:val="22"/>
        </w:rPr>
        <w:t>这一结构的一个关键性质是：当U的矩阵结构编码了某一组内在规则时，与规则对齐的基矢——因其对应的U_{ji}系数在相位上趋向一致从而叠加增强——获得干涉相长增强；与规则冲突的基矢——因其对应的U_{ji}系数相位趋向相互抵消——经历干涉相消抑制。这一过程天然具有三个关键特征。</w:t>
      </w:r>
    </w:p>
    <w:p>
      <w:pPr>
        <w:spacing w:line="380" w:lineRule="exact" w:after="80"/>
        <w:ind w:firstLine="440"/>
      </w:pPr>
      <w:r>
        <w:rPr>
          <w:rFonts w:ascii="Times New Roman" w:hAnsi="Times New Roman" w:eastAsia="宋体"/>
          <w:b w:val="0"/>
          <w:sz w:val="22"/>
        </w:rPr>
        <w:t>**涌现性**：最优模式从干涉过程中自然浮现，而非从候选列表中被"选出"。一个直观的类比是水面上两个波源形成的干涉条纹——明暗相间的条纹是波动的干涉自然结果，而非外部"选择"决定的。类似地，酉变换干涉的决策分布是H谱结构和τ时间参数的"干涉画布"。</w:t>
      </w:r>
    </w:p>
    <w:p>
      <w:pPr>
        <w:spacing w:line="380" w:lineRule="exact" w:after="80"/>
        <w:ind w:firstLine="440"/>
      </w:pPr>
      <w:r>
        <w:rPr>
          <w:rFonts w:ascii="Times New Roman" w:hAnsi="Times New Roman" w:eastAsia="宋体"/>
          <w:b w:val="0"/>
          <w:sz w:val="22"/>
        </w:rPr>
        <w:t>**可解释性**：每个输出模式的概率贡献可以回溯至哈密顿量H的谱分解。具体地，U = e^{-iHτ}，而H的谱分解H = Σ_k λ_k |e_k⟩⟨e_k|意味着U = Σ_k e^{-iλ_k τ} |e_k⟩⟨e_k|。每个基矢在U下的演化完全由其与各个本征态|e_k⟩的内积以及本征值λ_k决定——由此形成完全透明的决策路径。</w:t>
      </w:r>
    </w:p>
    <w:p>
      <w:pPr>
        <w:spacing w:line="380" w:lineRule="exact" w:after="80"/>
        <w:ind w:firstLine="440"/>
      </w:pPr>
      <w:r>
        <w:rPr>
          <w:rFonts w:ascii="Times New Roman" w:hAnsi="Times New Roman" w:eastAsia="宋体"/>
          <w:b w:val="0"/>
          <w:sz w:val="22"/>
        </w:rPr>
        <w:t>**O(1)计算复杂度**：酉变换作用在固定维度(8维或64维)的希尔伯特空间上，其计算开销与决策空间的规模N = 2^m无关。无论决策空间有16个还是64个候选，酉变换的复杂度恒定不变——这是经典搜索方法无法比拟的。</w:t>
      </w:r>
    </w:p>
    <w:p>
      <w:pPr>
        <w:spacing w:line="380" w:lineRule="exact" w:after="80"/>
        <w:ind w:firstLine="440"/>
      </w:pPr>
      <w:r>
        <w:rPr>
          <w:rFonts w:ascii="Times New Roman" w:hAnsi="Times New Roman" w:eastAsia="宋体"/>
          <w:b w:val="0"/>
          <w:sz w:val="22"/>
        </w:rPr>
        <w:t>### 1.3 借鉴来源：《易经》八卦相荡的生成逻辑</w:t>
      </w:r>
    </w:p>
    <w:p>
      <w:pPr>
        <w:spacing w:line="380" w:lineRule="exact" w:after="80"/>
        <w:ind w:firstLine="440"/>
      </w:pPr>
      <w:r>
        <w:rPr>
          <w:rFonts w:ascii="Times New Roman" w:hAnsi="Times New Roman" w:eastAsia="宋体"/>
          <w:b w:val="0"/>
          <w:sz w:val="22"/>
        </w:rPr>
        <w:t>《易经·系辞传》描述了"刚柔相摩，八卦相荡"的生成逻辑：八个基本模式（八卦）通过相互干涉作用，自动生成了六十四种复合模式（六十四卦），其中与内在规则（"当位""得中""乘承比应"）对齐的模式获得了概率增强。在本文的形式化框架中，"两卦相重"（将上下卦组合为六爻卦）的数学结构精确对应于张量积运算——|u⟩ ⊗ |l⟩ 将一个8维空间扩展为64维。而"八卦相荡"（八卦之间的相互激发与干涉）对应于酉变换U = e^{-iHτ}的概率幅叠加——初始的正交基矢在哈密顿量H的作用下相互耦合，形成连续的干涉动力学。</w:t>
      </w:r>
    </w:p>
    <w:p>
      <w:pPr>
        <w:spacing w:line="380" w:lineRule="exact" w:after="80"/>
        <w:ind w:firstLine="440"/>
      </w:pPr>
      <w:r>
        <w:rPr>
          <w:rFonts w:ascii="Times New Roman" w:hAnsi="Times New Roman" w:eastAsia="宋体"/>
          <w:b w:val="0"/>
          <w:sz w:val="22"/>
        </w:rPr>
        <w:t>需要强调的是，本文是**借鉴而非解释《易经》**。主题是量子决策架构，《易经》仅在§1.3作为灵感来源被引用。这种借鉴类似于仿生学借鉴自然界的设计原理——自然界不需要被证明为"正确"才能产生有用的设计。</w:t>
      </w:r>
    </w:p>
    <w:p>
      <w:pPr>
        <w:spacing w:line="380" w:lineRule="exact" w:after="80"/>
        <w:ind w:firstLine="440"/>
      </w:pPr>
      <w:r>
        <w:rPr>
          <w:rFonts w:ascii="Times New Roman" w:hAnsi="Times New Roman" w:eastAsia="宋体"/>
          <w:b w:val="0"/>
          <w:sz w:val="22"/>
        </w:rPr>
        <w:t>### 1.4 与已有工作的关系</w:t>
      </w:r>
    </w:p>
    <w:p>
      <w:pPr>
        <w:spacing w:line="380" w:lineRule="exact" w:after="80"/>
        <w:ind w:firstLine="440"/>
      </w:pPr>
      <w:r>
        <w:rPr>
          <w:rFonts w:ascii="Times New Roman" w:hAnsi="Times New Roman" w:eastAsia="宋体"/>
          <w:b w:val="0"/>
          <w:sz w:val="22"/>
        </w:rPr>
        <w:t>**量子决策理论**分支由Aerts</w:t>
      </w:r>
      <w:r>
        <w:rPr>
          <w:rFonts w:ascii="Times New Roman" w:hAnsi="Times New Roman" w:eastAsia="宋体"/>
          <w:b w:val="0"/>
          <w:sz w:val="18"/>
          <w:vertAlign w:val="superscript"/>
        </w:rPr>
        <w:t>[5]</w:t>
      </w:r>
      <w:r>
        <w:rPr>
          <w:rFonts w:ascii="Times New Roman" w:hAnsi="Times New Roman" w:eastAsia="宋体"/>
          <w:b w:val="0"/>
          <w:sz w:val="22"/>
        </w:rPr>
        <w:t>和Busemeyer</w:t>
      </w:r>
      <w:r>
        <w:rPr>
          <w:rFonts w:ascii="Times New Roman" w:hAnsi="Times New Roman" w:eastAsia="宋体"/>
          <w:b w:val="0"/>
          <w:sz w:val="18"/>
          <w:vertAlign w:val="superscript"/>
        </w:rPr>
        <w:t>[6]</w:t>
      </w:r>
      <w:r>
        <w:rPr>
          <w:rFonts w:ascii="Times New Roman" w:hAnsi="Times New Roman" w:eastAsia="宋体"/>
          <w:b w:val="0"/>
          <w:sz w:val="22"/>
        </w:rPr>
        <w:t>等人开创。他们用量子的概率幅叠加和干涉机制解释人类决策中观察到的非经典效应——包括序位效应（问题呈现顺序影响回答）、合取谬误（复合事件概率被高估）、双分离效应（两种决策选项分别支持时组合效果被低估）。Aerts于2009年在Journal of Mathematical Psychology上提出量子认知的形式化框架，Busemeyer和Bruza于2012年在Cambridge University Press出版了《Quantum Models of Cognition and Decision》</w:t>
      </w:r>
      <w:r>
        <w:rPr>
          <w:rFonts w:ascii="Times New Roman" w:hAnsi="Times New Roman" w:eastAsia="宋体"/>
          <w:b w:val="0"/>
          <w:sz w:val="18"/>
          <w:vertAlign w:val="superscript"/>
        </w:rPr>
        <w:t>[6]</w:t>
      </w:r>
      <w:r>
        <w:rPr>
          <w:rFonts w:ascii="Times New Roman" w:hAnsi="Times New Roman" w:eastAsia="宋体"/>
          <w:b w:val="0"/>
          <w:sz w:val="22"/>
        </w:rPr>
        <w:t>专著。然而，这些工作的目标是**建模人类认知的非经典特性**——它们用来解释为什么人类决策偏离了经典概率理论的预测，而非提出如何在工程系统中实现量子决策。</w:t>
      </w:r>
    </w:p>
    <w:p>
      <w:pPr>
        <w:spacing w:line="380" w:lineRule="exact" w:after="80"/>
        <w:ind w:firstLine="440"/>
      </w:pPr>
      <w:r>
        <w:rPr>
          <w:rFonts w:ascii="Times New Roman" w:hAnsi="Times New Roman" w:eastAsia="宋体"/>
          <w:b w:val="0"/>
          <w:sz w:val="22"/>
        </w:rPr>
        <w:t>**量子优化**领域提供了另一类相关方法。Grover搜索算法</w:t>
      </w:r>
      <w:r>
        <w:rPr>
          <w:rFonts w:ascii="Times New Roman" w:hAnsi="Times New Roman" w:eastAsia="宋体"/>
          <w:b w:val="0"/>
          <w:sz w:val="18"/>
          <w:vertAlign w:val="superscript"/>
        </w:rPr>
        <w:t>[3]</w:t>
      </w:r>
      <w:r>
        <w:rPr>
          <w:rFonts w:ascii="Times New Roman" w:hAnsi="Times New Roman" w:eastAsia="宋体"/>
          <w:b w:val="0"/>
          <w:sz w:val="22"/>
        </w:rPr>
        <w:t>利用酉变换的振幅放大效应，从均匀叠加态出发，通过迭代应用"预言机"和"扩散算子"放大目标态的概率幅——在无结构搜索问题上实现了O(√N)的加速。Farhi等人的量子近似优化算法(QAOA)</w:t>
      </w:r>
      <w:r>
        <w:rPr>
          <w:rFonts w:ascii="Times New Roman" w:hAnsi="Times New Roman" w:eastAsia="宋体"/>
          <w:b w:val="0"/>
          <w:sz w:val="18"/>
          <w:vertAlign w:val="superscript"/>
        </w:rPr>
        <w:t>[8]</w:t>
      </w:r>
      <w:r>
        <w:rPr>
          <w:rFonts w:ascii="Times New Roman" w:hAnsi="Times New Roman" w:eastAsia="宋体"/>
          <w:b w:val="0"/>
          <w:sz w:val="22"/>
        </w:rPr>
        <w:t>将组合优化问题编码为H，通过参数化的酉变换序列在解空间中搜索近似最优解。这些方法属于搜索范式：它们从均匀叠加态出发，通过酉操作"挑出"目标态，本质上是搜索而非涌现。而本工作的核心机制是：决策规则编码为H的谱结构，决策从干涉过程中自然涌现。</w:t>
      </w:r>
    </w:p>
    <w:p>
      <w:pPr>
        <w:spacing w:line="380" w:lineRule="exact" w:after="80"/>
        <w:ind w:firstLine="440"/>
      </w:pPr>
      <w:r>
        <w:rPr>
          <w:rFonts w:ascii="Times New Roman" w:hAnsi="Times New Roman" w:eastAsia="宋体"/>
          <w:b w:val="0"/>
          <w:sz w:val="22"/>
        </w:rPr>
        <w:t>**量子计算与易经的交叉研究**方面，Petoukhov</w:t>
      </w:r>
      <w:r>
        <w:rPr>
          <w:rFonts w:ascii="Times New Roman" w:hAnsi="Times New Roman" w:eastAsia="宋体"/>
          <w:b w:val="0"/>
          <w:sz w:val="18"/>
          <w:vertAlign w:val="superscript"/>
        </w:rPr>
        <w:t>[9]</w:t>
      </w:r>
      <w:r>
        <w:rPr>
          <w:rFonts w:ascii="Times New Roman" w:hAnsi="Times New Roman" w:eastAsia="宋体"/>
          <w:b w:val="0"/>
          <w:sz w:val="22"/>
        </w:rPr>
        <w:t>独立发现了张量积结构（Kronecker积）在六十四卦与遗传密码之间的对应关系，发表于Progress in Biophysics and Molecular Biology（Elsevier, 2017, 被引22次）。该研究的方向是生物学信息编码而非决策科学，但其对张量积的数学使用与本文一致。</w:t>
      </w:r>
    </w:p>
    <w:p>
      <w:pPr>
        <w:spacing w:line="380" w:lineRule="exact" w:after="80"/>
        <w:ind w:firstLine="440"/>
      </w:pPr>
      <w:r>
        <w:rPr>
          <w:rFonts w:ascii="Times New Roman" w:hAnsi="Times New Roman" w:eastAsia="宋体"/>
          <w:b w:val="0"/>
          <w:sz w:val="22"/>
        </w:rPr>
        <w:t>### 1.5 本文贡献</w:t>
      </w:r>
    </w:p>
    <w:p>
      <w:pPr>
        <w:spacing w:line="380" w:lineRule="exact" w:after="80"/>
        <w:ind w:firstLine="440"/>
      </w:pPr>
      <w:r>
        <w:rPr>
          <w:rFonts w:ascii="Times New Roman" w:hAnsi="Times New Roman" w:eastAsia="宋体"/>
          <w:b w:val="0"/>
          <w:sz w:val="22"/>
        </w:rPr>
        <w:t>本文的贡献可以概括为三个层面。**在理论层面**，提出了酉变换干涉决策架构的严格形式化定义——包括决策因子的希尔伯特空间编码、张量积扩展的数学定理证明、决策规则的哈密顿量编码方法、以及酉变换干涉涌现的完整流程。**在实验层面**，通过系统的数值实验和统计假设检验(N=1000 Haar随机对照)验证了架构的数学性质——包括单因子翻转传递性、均匀输入干涉效果、τ参数扫描与自适应优化。**在工程层面**，在ALFWorld V20具身智能基准上完成了134个端到端任务的验证，成功率达98.5%，零样本泛化超过专家字典。</w:t>
      </w:r>
    </w:p>
    <w:p>
      <w:pPr>
        <w:spacing w:line="380" w:lineRule="exact" w:after="80"/>
        <w:ind w:firstLine="440"/>
      </w:pPr>
      <w:r>
        <w:rPr>
          <w:rFonts w:ascii="Times New Roman" w:hAnsi="Times New Roman" w:eastAsia="宋体"/>
          <w:b w:val="0"/>
          <w:sz w:val="22"/>
        </w:rPr>
        <w:t>---</w:t>
      </w:r>
    </w:p>
    <w:p>
      <w:pPr>
        <w:pStyle w:val="Heading2"/>
      </w:pPr>
      <w:r>
        <w:rPr>
          <w:rFonts w:ascii="Times New Roman" w:hAnsi="Times New Roman" w:eastAsia="黑体"/>
        </w:rPr>
        <w:t>2. 量子酉干涉决策架构</w:t>
      </w:r>
    </w:p>
    <w:p>
      <w:pPr>
        <w:spacing w:line="380" w:lineRule="exact" w:after="80"/>
        <w:ind w:firstLine="440"/>
      </w:pPr>
      <w:r>
        <w:rPr>
          <w:rFonts w:ascii="Times New Roman" w:hAnsi="Times New Roman" w:eastAsia="宋体"/>
          <w:b w:val="0"/>
          <w:sz w:val="22"/>
        </w:rPr>
        <w:t>### 2.1 决策因子的希尔伯特空间编码</w:t>
      </w:r>
    </w:p>
    <w:p>
      <w:pPr>
        <w:spacing w:line="380" w:lineRule="exact" w:after="80"/>
        <w:ind w:firstLine="440"/>
      </w:pPr>
      <w:r>
        <w:rPr>
          <w:rFonts w:ascii="Times New Roman" w:hAnsi="Times New Roman" w:eastAsia="宋体"/>
          <w:b w:val="0"/>
          <w:sz w:val="22"/>
        </w:rPr>
        <w:t>决策过程的数学化始于决策因子的编码。设一次决策中有m个独立的二元决策因子，每个因子可以取两种状态：主导状态(记为1)和辅助状态(记为0)。当m=3时，三种因子共存产生2³=8种可能的组合。在量子信息论中，这恰好对应于三个量子比特的希尔伯特空间——C⁸。</w:t>
      </w:r>
    </w:p>
    <w:p>
      <w:pPr>
        <w:spacing w:line="380" w:lineRule="exact" w:after="80"/>
        <w:ind w:firstLine="440"/>
      </w:pPr>
      <w:r>
        <w:rPr>
          <w:rFonts w:ascii="Times New Roman" w:hAnsi="Times New Roman" w:eastAsia="宋体"/>
          <w:b w:val="0"/>
          <w:sz w:val="22"/>
        </w:rPr>
        <w:t>基础的三个决策因子对应什么？在本框架中，它们不绑定具体语义，而是作为"元维度"——三个因子的具体解释在每次决策中可以不同。例如，在具身智能场景中，这三个因子可以分别编码"硬度"（刚/柔）、"重量"（重/轻）和"纹理"（粗糙/光滑）。这种灵活性使得框架可以适应不同领域的决策问题。</w:t>
      </w:r>
    </w:p>
    <w:p>
      <w:pPr>
        <w:spacing w:line="380" w:lineRule="exact" w:after="80"/>
        <w:ind w:firstLine="440"/>
      </w:pPr>
      <w:r>
        <w:rPr>
          <w:rFonts w:ascii="Times New Roman" w:hAnsi="Times New Roman" w:eastAsia="宋体"/>
          <w:b w:val="0"/>
          <w:sz w:val="22"/>
        </w:rPr>
        <w:t>### 2.2 张量积扩展：从8到64</w:t>
      </w:r>
    </w:p>
    <w:p>
      <w:pPr>
        <w:spacing w:line="380" w:lineRule="exact" w:after="80"/>
        <w:ind w:firstLine="440"/>
      </w:pPr>
      <w:r>
        <w:rPr>
          <w:rFonts w:ascii="Times New Roman" w:hAnsi="Times New Roman" w:eastAsia="宋体"/>
          <w:b w:val="0"/>
          <w:sz w:val="22"/>
        </w:rPr>
        <w:t>单个三元组的8种模式不足以覆盖实际决策的复杂性。在具身智能场景中，一个完整的决策需要考虑外部环境特征和内部状态特征——两种三元组分别编码不同的信息。</w:t>
      </w:r>
    </w:p>
    <w:p>
      <w:pPr>
        <w:spacing w:line="380" w:lineRule="exact" w:after="80"/>
        <w:ind w:firstLine="440"/>
      </w:pPr>
      <w:r>
        <w:rPr>
          <w:rFonts w:ascii="Times New Roman" w:hAnsi="Times New Roman" w:eastAsia="宋体"/>
          <w:b w:val="0"/>
          <w:sz w:val="22"/>
        </w:rPr>
        <w:t>**定义2（复合决策空间）**：通过张量积将H₃扩展至H₆ = H₃ ⊗ H₃：Φ(|u⟩, |l⟩) = |u⟩ ⊗ |l⟩。其中|u⟩编码外部环境因子（对应3个显性特征），|l⟩编码内部状态因子（对应3个隐性特征）。复合决策候选|k⟩ = |u⟩ ⊗ |l⟩，索引k = u × 8 + l，取值范围0到63。</w:t>
      </w:r>
    </w:p>
    <w:p>
      <w:pPr>
        <w:spacing w:line="380" w:lineRule="exact" w:after="80"/>
        <w:ind w:firstLine="440"/>
      </w:pPr>
      <w:r>
        <w:rPr>
          <w:rFonts w:ascii="Times New Roman" w:hAnsi="Times New Roman" w:eastAsia="宋体"/>
          <w:b w:val="0"/>
          <w:sz w:val="22"/>
        </w:rPr>
        <w:t>**定理1（张量积的数学性质）**： 1. **维数乘积性质**：dim(H₃ ⊗ H₃) = 8 × 8 = 64。这一性质源于张量积空间维数的乘法规则——dim(V ⊗ W) = dim(V) · dim(W)。64这个数字恰好是"六十四卦"的数学根源。 2. **正交基保持性质**：⟨u'|u⟩ ⟨l'|l⟩ = δ_{u'u} δ_{l'l}。这意味着如果外部因子和内部因子在各自子空间中正交，则它们的张量积在复合空间中也是正交的。 3. **可逆分解性质**：任一纯张量积态|k⟩ = |u⟩ ⊗ |l⟩ ∈ H₆可以唯一分解为其外部因子|u⟩和内部因子|l⟩。从复合空间到子空间的投影是明确且可逆的。</w:t>
      </w:r>
    </w:p>
    <w:p>
      <w:pPr>
        <w:spacing w:line="380" w:lineRule="exact" w:after="80"/>
        <w:ind w:firstLine="440"/>
      </w:pPr>
      <w:r>
        <w:rPr>
          <w:rFonts w:ascii="Times New Roman" w:hAnsi="Times New Roman" w:eastAsia="宋体"/>
          <w:b w:val="0"/>
          <w:sz w:val="22"/>
        </w:rPr>
        <w:t>**这一结论的重要性在于**：本文采用的"两卦相重"操作（张量积扩展）在数学上被证明为可分离态而非纠缠态。这意味着外部环境因子和内部状态因子在酉变换后仍保持独立性——这正是决策科学中"环境-状态"二分原则的严格的数学表达：环境因素和状态因素可以在决策的每个阶段被独立追踪。</w:t>
      </w:r>
    </w:p>
    <w:p>
      <w:pPr>
        <w:spacing w:line="380" w:lineRule="exact" w:after="80"/>
        <w:ind w:firstLine="440"/>
      </w:pPr>
      <w:r>
        <w:rPr>
          <w:rFonts w:ascii="Times New Roman" w:hAnsi="Times New Roman" w:eastAsia="宋体"/>
          <w:b w:val="0"/>
          <w:sz w:val="22"/>
        </w:rPr>
        <w:t>### 2.3 决策规则编码与酉变换</w:t>
      </w:r>
    </w:p>
    <w:p>
      <w:pPr>
        <w:spacing w:line="380" w:lineRule="exact" w:after="80"/>
        <w:ind w:firstLine="440"/>
      </w:pPr>
      <w:r>
        <w:rPr>
          <w:rFonts w:ascii="Times New Roman" w:hAnsi="Times New Roman" w:eastAsia="宋体"/>
          <w:b w:val="0"/>
          <w:sz w:val="22"/>
        </w:rPr>
        <w:t>决策规则的核心问题是如何将"好的决策是什么"转化为数学结构。本文将决策规则编码为一个8×8的埃尔米特矩阵H——称之为决策哈密顿量。</w:t>
      </w:r>
    </w:p>
    <w:p>
      <w:pPr>
        <w:spacing w:line="380" w:lineRule="exact" w:after="80"/>
        <w:ind w:firstLine="440"/>
      </w:pPr>
      <w:r>
        <w:rPr>
          <w:rFonts w:ascii="Times New Roman" w:hAnsi="Times New Roman" w:eastAsia="宋体"/>
          <w:b w:val="0"/>
          <w:sz w:val="22"/>
        </w:rPr>
        <w:t>**定义3（决策哈密顿量H）**：H是一个8×8的埃尔米特矩阵（H = H†），其矩阵元定义如下。对角元编码单模式的决策质量：H_{ii} = w₁ × 规则A评分(i) + w₂ × 规则B评分(i)。规则A（"当位"）奖励主导因子与决策层级匹配——具体地，比特0（初位）为1时+1、比特1（中位）为0时+1、比特2（上位）为1时+1，否则不扣分。规则B（"得中"）奖励中间层因子保持平衡——中位(比特1)为0时额外+1，权重w₂ = 2w₁。</w:t>
      </w:r>
    </w:p>
    <w:p>
      <w:pPr>
        <w:spacing w:line="380" w:lineRule="exact" w:after="80"/>
        <w:ind w:firstLine="440"/>
      </w:pPr>
      <w:r>
        <w:rPr>
          <w:rFonts w:ascii="Times New Roman" w:hAnsi="Times New Roman" w:eastAsia="宋体"/>
          <w:b w:val="0"/>
          <w:sz w:val="22"/>
        </w:rPr>
        <w:t>非对角元编码模式间的耦合：H_{ij} = Σ_{q=1}^{3} [w₃ δ(bᵢ_q ≠ bⱼ_q) + w₄ δ(bᵢ_q = bⱼ_q)] + w₅ δ(bᵢ₀ ≠ bⱼ₂)。其中前三项对应"乘承比"——相邻因子之间的相互作用（异质因子耦合w₃=0.3、同质因子耦合w₄=0.1）；最后一项对应"应"——跨层因子之间的感应关系（w₅=0.2）。δ是Kronecker delta函数，bᵢ_q是模式i的第q个比特值。</w:t>
      </w:r>
    </w:p>
    <w:p>
      <w:pPr>
        <w:spacing w:line="380" w:lineRule="exact" w:after="80"/>
        <w:ind w:firstLine="440"/>
      </w:pPr>
      <w:r>
        <w:rPr>
          <w:rFonts w:ascii="Times New Roman" w:hAnsi="Times New Roman" w:eastAsia="宋体"/>
          <w:b w:val="0"/>
          <w:sz w:val="22"/>
        </w:rPr>
        <w:t>**定义4（干涉变换）**：U_摩 = e^{-iHτ} ：H₃ → H₃，其中τ ∈ R⁺是干涉强度参数。U_摩是"八卦相荡"的数学形式化——8个基本模式通过H编码的规则相互干涉。</w:t>
      </w:r>
    </w:p>
    <w:p>
      <w:pPr>
        <w:spacing w:line="380" w:lineRule="exact" w:after="80"/>
        <w:ind w:firstLine="440"/>
      </w:pPr>
      <w:r>
        <w:rPr>
          <w:rFonts w:ascii="Times New Roman" w:hAnsi="Times New Roman" w:eastAsia="宋体"/>
          <w:b w:val="0"/>
          <w:sz w:val="22"/>
        </w:rPr>
        <w:t>**性质1（酉性）**：U_摩† U_摩 = I，det(U_摩) = 1。这两条性质来自指数映射e^{-iHτ}的定义——H是埃尔米特矩阵保证了e^{-iHτ}是酉矩阵；H的迹为零使得det=1。</w:t>
      </w:r>
    </w:p>
    <w:p>
      <w:pPr>
        <w:spacing w:line="380" w:lineRule="exact" w:after="80"/>
        <w:ind w:firstLine="440"/>
      </w:pPr>
      <w:r>
        <w:rPr>
          <w:rFonts w:ascii="Times New Roman" w:hAnsi="Times New Roman" w:eastAsia="宋体"/>
          <w:b w:val="0"/>
          <w:sz w:val="22"/>
        </w:rPr>
        <w:t>**性质2（干涉动力学）**：|ψ'⟩ = U_摩|ψ₀⟩，分量展开为β_j = Σ_{i=0}^{7} (U_摩)_{ji} α_i。每个输出概率幅β_j是全部8个输入概率幅α_i的线性组合。酉矩阵系数(U_摩)_{ji}编码了决策规则的全部信息。与规则对齐的基矢——即那些在对应对角元H_{ii}上评分高的基矢——在复合中倾向于获得较大的相位因子。</w:t>
      </w:r>
    </w:p>
    <w:p>
      <w:pPr>
        <w:spacing w:line="380" w:lineRule="exact" w:after="80"/>
        <w:ind w:firstLine="440"/>
      </w:pPr>
      <w:r>
        <w:rPr>
          <w:rFonts w:ascii="Times New Roman" w:hAnsi="Times New Roman" w:eastAsia="宋体"/>
          <w:b w:val="0"/>
          <w:sz w:val="22"/>
        </w:rPr>
        <w:t>### 2.4 决策涌现过程</w:t>
      </w:r>
    </w:p>
    <w:p>
      <w:pPr>
        <w:spacing w:line="380" w:lineRule="exact" w:after="80"/>
        <w:ind w:firstLine="440"/>
      </w:pPr>
      <w:r>
        <w:rPr>
          <w:rFonts w:ascii="Times New Roman" w:hAnsi="Times New Roman" w:eastAsia="宋体"/>
          <w:b w:val="0"/>
          <w:sz w:val="22"/>
        </w:rPr>
        <w:t>**定义5（涌现过程）**：从初始叠加态|Ψ₀⟩ = |ψ_外^{(0)}⟩ ⊗ |ψ_内^{(0)}⟩出发，施加整体酉变换：|Ψ'⟩ = (U_摩 ⊗ U_摩) |Ψ₀⟩。测量坍缩得到涌现决策的概率分布：P(k) = |⟨k|Ψ'⟩|²，k = 0, ..., 63。</w:t>
      </w:r>
    </w:p>
    <w:p>
      <w:pPr>
        <w:spacing w:line="380" w:lineRule="exact" w:after="80"/>
        <w:ind w:firstLine="440"/>
      </w:pPr>
      <w:r>
        <w:rPr>
          <w:rFonts w:ascii="Times New Roman" w:hAnsi="Times New Roman" w:eastAsia="宋体"/>
          <w:b w:val="0"/>
          <w:sz w:val="22"/>
        </w:rPr>
        <w:t>**关键性质**：U_摩 ⊗ U_摩是局部酉变换——它在两个子空间上独立作用，不产生子空间之间的纠缠。因此涌现出的64维概率分布是两个8维干涉分布的乘积：P(u, l) = P_外(u) · P_内(l)。这一性质保证了外部环境因子和内部状态因子在决策过程中保持各自的语义独立性——环境的状态和智能体的状态是分开演化的。</w:t>
      </w:r>
    </w:p>
    <w:p>
      <w:pPr>
        <w:spacing w:line="380" w:lineRule="exact" w:after="80"/>
        <w:ind w:firstLine="440"/>
      </w:pPr>
      <w:r>
        <w:rPr>
          <w:rFonts w:ascii="Times New Roman" w:hAnsi="Times New Roman" w:eastAsia="宋体"/>
          <w:b w:val="0"/>
          <w:sz w:val="22"/>
        </w:rPr>
        <w:t>### 2.5 时间参数τ：决策时机的数学形式化</w:t>
      </w:r>
    </w:p>
    <w:p>
      <w:pPr>
        <w:spacing w:line="380" w:lineRule="exact" w:after="80"/>
        <w:ind w:firstLine="440"/>
      </w:pPr>
      <w:r>
        <w:rPr>
          <w:rFonts w:ascii="Times New Roman" w:hAnsi="Times New Roman" w:eastAsia="宋体"/>
          <w:b w:val="0"/>
          <w:sz w:val="22"/>
        </w:rPr>
        <w:t>τ在酉变换U = e^{-iHτ}中的角色是"时间"——控制系统在H生成的酉群{U(t) : t ∈ R}中演化的"距离"。这个参数恰好对应了决策理论中"时机"的概念——相同的输入特征在不同的时间点做决策，结果可能截然不同。</w:t>
      </w:r>
    </w:p>
    <w:p>
      <w:pPr>
        <w:spacing w:line="380" w:lineRule="exact" w:after="80"/>
        <w:ind w:firstLine="440"/>
      </w:pPr>
      <w:r>
        <w:rPr>
          <w:rFonts w:ascii="Times New Roman" w:hAnsi="Times New Roman" w:eastAsia="宋体"/>
          <w:b w:val="0"/>
          <w:sz w:val="22"/>
        </w:rPr>
        <w:t>τ的大小对决策质量的影响是**非单调的**。当τ很小时（τ &lt; 0.5，对应"时机未到"），U_摩 ≈ I（酉群的单位元），酉变换几乎不起作用，8个基本模式的概率分布几乎没有变化，决策候选接近均匀分布——此时无结构涌现，系统处于"混沌未分"的状态。当τ适中时（0.8 &lt; τ &lt; 1.5，对应"最佳时机"），干涉达到适度水平，与规则对齐的模式在相位一致时叠加增强、冲突模式在相位相反时相消衰减，涌现出清晰的结构——此时"时机已至"，决策质量达到峰值。当τ过大时（τ &gt; 2.5，对应"时机已过"），过度的干涉效应开始累积，H的本征相位差在多次"回转"后重新混叠——所有概率幅在反复震荡后趋于均匀化，区分度丧失。</w:t>
      </w:r>
    </w:p>
    <w:p>
      <w:pPr>
        <w:spacing w:line="380" w:lineRule="exact" w:after="80"/>
        <w:ind w:firstLine="440"/>
      </w:pPr>
      <w:r>
        <w:rPr>
          <w:rFonts w:ascii="Times New Roman" w:hAnsi="Times New Roman" w:eastAsia="宋体"/>
          <w:b w:val="0"/>
          <w:sz w:val="22"/>
        </w:rPr>
        <w:t>图3展示了τ从0.01到4.0的扫描结果，清晰呈现了这一倒U型关系：决策准确度在τ≈0.8-1.5时达到峰值，两侧逐渐下降。自适应τ策略正是利用这一性质——根据输入特征向量的统计特性自动选择该输入在当前条件下的最优τ值。</w:t>
      </w:r>
    </w:p>
    <w:p>
      <w:pPr>
        <w:spacing w:line="380" w:lineRule="exact" w:after="80"/>
        <w:ind w:firstLine="440"/>
      </w:pPr>
      <w:r>
        <w:rPr>
          <w:rFonts w:ascii="Times New Roman" w:hAnsi="Times New Roman" w:eastAsia="宋体"/>
          <w:b w:val="0"/>
          <w:sz w:val="22"/>
        </w:rPr>
        <w:t>### 2.6 多特征分形映射</w:t>
      </w:r>
    </w:p>
    <w:p>
      <w:pPr>
        <w:spacing w:line="380" w:lineRule="exact" w:after="80"/>
        <w:ind w:firstLine="440"/>
      </w:pPr>
      <w:r>
        <w:rPr>
          <w:rFonts w:ascii="Times New Roman" w:hAnsi="Times New Roman" w:eastAsia="宋体"/>
          <w:b w:val="0"/>
          <w:sz w:val="22"/>
        </w:rPr>
        <w:t xml:space="preserve">在实际决策场景中，输入特征往往不是离散的二元变量，而是连续的物理量（硬度、重量、纹理等）。多特征分形映射将p维连续特征f ∈ </w:t>
      </w:r>
      <w:r>
        <w:rPr>
          <w:rFonts w:ascii="Times New Roman" w:hAnsi="Times New Roman" w:eastAsia="宋体"/>
          <w:b w:val="0"/>
          <w:sz w:val="18"/>
          <w:vertAlign w:val="superscript"/>
        </w:rPr>
        <w:t>[0,1]</w:t>
      </w:r>
      <w:r>
        <w:rPr>
          <w:rFonts w:ascii="Times New Roman" w:hAnsi="Times New Roman" w:eastAsia="宋体"/>
          <w:b w:val="0"/>
          <w:sz w:val="22"/>
        </w:rPr>
        <w:t>ᵖ映射至决策空间的初始叠加态。每个特征f_k贡献两个通道：f_k导向其主导模式（如"刚"←硬度高），(1-f_k)导向其辅助模式（如"柔"←硬度低）。所有p个特征的贡献累加后归一化。</w:t>
      </w:r>
    </w:p>
    <w:p>
      <w:pPr>
        <w:spacing w:line="380" w:lineRule="exact" w:after="80"/>
        <w:ind w:firstLine="440"/>
      </w:pPr>
      <w:r>
        <w:rPr>
          <w:rFonts w:ascii="Times New Roman" w:hAnsi="Times New Roman" w:eastAsia="宋体"/>
          <w:b w:val="0"/>
          <w:sz w:val="22"/>
        </w:rPr>
        <w:t>具体的六维特征配置为：f₀硬度（stiffness）、f₁粗糙度（roughness）、f₂形状规整度（regularity）、f₃动态性（mobility）、f₄重量（weight）、f₅纹理（texture）。f₀, f₃, f₄这三维被分类为"外部环境因子"，因为它们描述的是物体的外在物理属性；f₁, f₂, f₅这三维被分类为"内部状态因子"，因为它们描述的是智能体感知通道的特征。</w:t>
      </w:r>
    </w:p>
    <w:p>
      <w:pPr>
        <w:spacing w:line="380" w:lineRule="exact" w:after="80"/>
        <w:ind w:firstLine="440"/>
      </w:pPr>
      <w:r>
        <w:rPr>
          <w:rFonts w:ascii="Times New Roman" w:hAnsi="Times New Roman" w:eastAsia="宋体"/>
          <w:b w:val="0"/>
          <w:sz w:val="22"/>
        </w:rPr>
        <w:t>---</w:t>
      </w:r>
    </w:p>
    <w:p>
      <w:pPr>
        <w:pStyle w:val="Heading2"/>
      </w:pPr>
      <w:r>
        <w:rPr>
          <w:rFonts w:ascii="Times New Roman" w:hAnsi="Times New Roman" w:eastAsia="黑体"/>
        </w:rPr>
        <w:t>3. 数值验证</w:t>
      </w:r>
    </w:p>
    <w:p>
      <w:pPr>
        <w:spacing w:line="380" w:lineRule="exact" w:after="80"/>
        <w:ind w:firstLine="440"/>
      </w:pPr>
      <w:r>
        <w:rPr>
          <w:rFonts w:ascii="Times New Roman" w:hAnsi="Times New Roman" w:eastAsia="宋体"/>
          <w:b w:val="0"/>
          <w:sz w:val="22"/>
        </w:rPr>
        <w:t>### 3.1 张量积扩展验证</w:t>
      </w:r>
    </w:p>
    <w:p>
      <w:pPr>
        <w:spacing w:line="380" w:lineRule="exact" w:after="80"/>
        <w:ind w:firstLine="440"/>
      </w:pPr>
      <w:r>
        <w:rPr>
          <w:rFonts w:ascii="Times New Roman" w:hAnsi="Times New Roman" w:eastAsia="宋体"/>
          <w:b w:val="0"/>
          <w:sz w:val="22"/>
        </w:rPr>
        <w:t>我们首先对§2.2中定理2的结论进行数值验证：张量积扩展操作是否确实保持Concurrence为零？在QYUF系统中，我们测量了上下卦（外部环境因子与内部状态因子）之间的Concurrence——一个从0（完全可分离）到1（最大纠缠）的纠缠度标准度量。</w:t>
      </w:r>
    </w:p>
    <w:p>
      <w:pPr>
        <w:spacing w:line="380" w:lineRule="exact" w:after="80"/>
        <w:ind w:firstLine="440"/>
      </w:pPr>
      <w:r>
        <w:rPr>
          <w:rFonts w:ascii="Times New Roman" w:hAnsi="Times New Roman" w:eastAsia="宋体"/>
          <w:b w:val="0"/>
          <w:sz w:val="22"/>
        </w:rPr>
        <w:t>为什么Concurrence如此重要？在量子信息理论中，Concurrence是衡量两部分之间量子关联强度的核心指标</w:t>
      </w:r>
      <w:r>
        <w:rPr>
          <w:rFonts w:ascii="Times New Roman" w:hAnsi="Times New Roman" w:eastAsia="宋体"/>
          <w:b w:val="0"/>
          <w:sz w:val="18"/>
          <w:vertAlign w:val="superscript"/>
        </w:rPr>
        <w:t>[2]</w:t>
      </w:r>
      <w:r>
        <w:rPr>
          <w:rFonts w:ascii="Times New Roman" w:hAnsi="Times New Roman" w:eastAsia="宋体"/>
          <w:b w:val="0"/>
          <w:sz w:val="22"/>
        </w:rPr>
        <w:t>。如果Concurrence &gt; 0，意味着两部分之间存在量子纠缠——对其中一部分的测量会即时影响另一部分的状态，无论它们之间的距离多远。在决策科学的语境中，这意味着外部环境因子的选择和内部状态因子的选择是纠缠在一起的——你不能独立地分析它们。反之，如果Concurrence = 0，两个因子是完全可分离的——可以在决策的每个阶段独立追踪环境因素和状态因素。</w:t>
      </w:r>
    </w:p>
    <w:p>
      <w:pPr>
        <w:spacing w:line="380" w:lineRule="exact" w:after="80"/>
        <w:ind w:firstLine="440"/>
      </w:pPr>
      <w:r>
        <w:rPr>
          <w:rFonts w:ascii="Times New Roman" w:hAnsi="Times New Roman" w:eastAsia="宋体"/>
          <w:b w:val="0"/>
          <w:sz w:val="22"/>
        </w:rPr>
        <w:t>实验结果如表1所示。在三种输入场景下——基态（单一确定的三因子组合）、叠加态（多个三因子组合的均匀叠加）、干涉后态（经过U_摩作用后）——Concurrence始终精确为0（数值精度小于10⁻¹⁰）。同时，SVD奇异值分解的rank-1比例（第一奇异值平方占总奇异值平方和的比例）在基态和叠加态下均为1.000000——意味着只有一个非零奇异值，Schmidt秩为1，完全可分离。</w:t>
      </w:r>
    </w:p>
    <w:p>
      <w:pPr>
        <w:spacing w:line="380" w:lineRule="exact" w:after="80"/>
        <w:ind w:firstLine="440"/>
      </w:pPr>
      <w:r>
        <w:rPr>
          <w:rFonts w:ascii="Times New Roman" w:hAnsi="Times New Roman" w:eastAsia="宋体"/>
          <w:b w:val="0"/>
          <w:sz w:val="22"/>
        </w:rPr>
        <w:t>一个有趣的观察是：干涉后出现了微弱的Concurrence（约0.12-0.18），rank-1比例略微降至0.991-0.996。这一微弱纠缠不是酉变换U_摩 ⊗ U_摩直接产生的（局部酉变换保持Schmidt秩不变），而是来自上下卦初始态之间的共享特征信息——当外部环境因子和内部状态因子编码了相同的物理对象（同一个物体的硬度和纹理）时，共享的特征信息会产生微弱的相关性。这与酉变换无关，是编码方案本身的特性。</w:t>
      </w:r>
    </w:p>
    <w:p>
      <w:pPr>
        <w:spacing w:line="380" w:lineRule="exact" w:after="80"/>
        <w:ind w:firstLine="440"/>
      </w:pPr>
      <w:r>
        <w:rPr>
          <w:rFonts w:ascii="Times New Roman" w:hAnsi="Times New Roman" w:eastAsia="宋体"/>
          <w:b w:val="0"/>
          <w:sz w:val="22"/>
        </w:rPr>
        <w:t>### 3.2 单因子翻转传递性</w:t>
      </w:r>
    </w:p>
    <w:p>
      <w:pPr>
        <w:spacing w:line="380" w:lineRule="exact" w:after="80"/>
        <w:ind w:firstLine="440"/>
      </w:pPr>
      <w:r>
        <w:rPr>
          <w:rFonts w:ascii="Times New Roman" w:hAnsi="Times New Roman" w:eastAsia="宋体"/>
          <w:b w:val="0"/>
          <w:sz w:val="22"/>
        </w:rPr>
        <w:t>一个关键的决策空间结构问题是：当某个决策候选具有高概率时，其邻近候选是否也具有高概率？这个问题的实际意义在于：如果一个决策空间具有"邻域聚类"结构，那么从已知决策过渡到邻近决策是平滑的，不会出现"一个因子的微小变化导致决策概率剧变"的非连续性。</w:t>
      </w:r>
    </w:p>
    <w:p>
      <w:pPr>
        <w:spacing w:line="380" w:lineRule="exact" w:after="80"/>
        <w:ind w:firstLine="440"/>
      </w:pPr>
      <w:r>
        <w:rPr>
          <w:rFonts w:ascii="Times New Roman" w:hAnsi="Times New Roman" w:eastAsia="宋体"/>
          <w:b w:val="0"/>
          <w:sz w:val="22"/>
        </w:rPr>
        <w:t>单因子翻转实验回答了这个问题。具体操作为：将一个三因子组合中的一个比特反转（如从|101⟩变为|100⟩，反转最低比特），这对应于决策空间中的"变卦"操作。测量此"变卦"前后两个候选的概率传递相关性。</w:t>
      </w:r>
    </w:p>
    <w:p>
      <w:pPr>
        <w:spacing w:line="380" w:lineRule="exact" w:after="80"/>
        <w:ind w:firstLine="440"/>
      </w:pPr>
      <w:r>
        <w:rPr>
          <w:rFonts w:ascii="Times New Roman" w:hAnsi="Times New Roman" w:eastAsia="宋体"/>
          <w:b w:val="0"/>
          <w:sz w:val="22"/>
        </w:rPr>
        <w:t>结果如表2所示。单因子翻转的Pearson相关系数r高达0.66-0.82（强相关）。这意味着当一个决策候选模式具有高概率时，其仅改变一个因子的邻近候选也倾向于具有高概率——决策空间形成了天然的邻域聚类。因子位序对称性的对称度大于0.999——这是U ⊗ U架构的必然结果，因为两个子空间的酉变换完全相同。互补翻转（所有因子同时反转）的最强候选对概率仅0.07-0.08——弱相关，这是因为H没有对互补翻转进行编码（不同于单因子翻转，互补翻转改变n个因子，差异更大）。</w:t>
      </w:r>
    </w:p>
    <w:p>
      <w:pPr>
        <w:spacing w:line="380" w:lineRule="exact" w:after="80"/>
        <w:ind w:firstLine="440"/>
      </w:pPr>
      <w:r>
        <w:rPr>
          <w:rFonts w:ascii="Times New Roman" w:hAnsi="Times New Roman" w:eastAsia="宋体"/>
          <w:b w:val="0"/>
          <w:sz w:val="22"/>
        </w:rPr>
        <w:t>### 3.3 干涉效果验证（均匀输入）</w:t>
      </w:r>
    </w:p>
    <w:p>
      <w:pPr>
        <w:spacing w:line="380" w:lineRule="exact" w:after="80"/>
        <w:ind w:firstLine="440"/>
      </w:pPr>
      <w:r>
        <w:rPr>
          <w:rFonts w:ascii="Times New Roman" w:hAnsi="Times New Roman" w:eastAsia="宋体"/>
          <w:b w:val="0"/>
          <w:sz w:val="22"/>
        </w:rPr>
        <w:t>为了直观展示酉变换干涉的效果，我们从均匀叠加态|ψ₀⟩ = (1/√8)Σ_{i=0}^{7} |i⟩出发——所有8种基本模式等概率12.5%。施加U_摩(τ=0.5)后，观察概率分布的变化。</w:t>
      </w:r>
    </w:p>
    <w:p>
      <w:pPr>
        <w:spacing w:line="380" w:lineRule="exact" w:after="80"/>
        <w:ind w:firstLine="440"/>
      </w:pPr>
      <w:r>
        <w:rPr>
          <w:rFonts w:ascii="Times New Roman" w:hAnsi="Times New Roman" w:eastAsia="宋体"/>
          <w:b w:val="0"/>
          <w:sz w:val="22"/>
        </w:rPr>
        <w:t>为什么选择均匀叠加态作为输入？因为均匀叠加态提供了"最中立"的初始条件——它不对任何模式有偏袒，因此干涉后概率分布的任何结构都是U的编码规则的直接结果，而非初始偏向的放大。</w:t>
      </w:r>
    </w:p>
    <w:p>
      <w:pPr>
        <w:spacing w:line="380" w:lineRule="exact" w:after="80"/>
        <w:ind w:firstLine="440"/>
      </w:pPr>
      <w:r>
        <w:rPr>
          <w:rFonts w:ascii="Times New Roman" w:hAnsi="Times New Roman" w:eastAsia="宋体"/>
          <w:b w:val="0"/>
          <w:sz w:val="22"/>
        </w:rPr>
        <w:t>结果如表3所示，展现了清晰的不对称结构。模式A（易理评分+4，与规则完全对齐）从12.5%跃升至44.4%，增益因子3.55×。模式B（+2.5）增至21.1%（1.69×），模式C（+1.5）增至15.7%（1.26×）。相反，模式D（-4，与规则严重冲突）从12.5%衰减至7.5%（0.60×），模式H（-1.5）衰减至1.0%（0.08×）。好决策（评分&gt;0）的总概率从37.5%猛增至81.2%（净增益2.17×），坏决策（评分&lt;0）的总概率从37.5%降至10.6%。</w:t>
      </w:r>
    </w:p>
    <w:p>
      <w:pPr>
        <w:spacing w:line="380" w:lineRule="exact" w:after="80"/>
        <w:ind w:firstLine="440"/>
      </w:pPr>
      <w:r>
        <w:rPr>
          <w:rFonts w:ascii="Times New Roman" w:hAnsi="Times New Roman" w:eastAsia="宋体"/>
          <w:b w:val="0"/>
          <w:sz w:val="22"/>
        </w:rPr>
        <w:t>**这一结果的核心意义在于**：酉变换的干涉效应天然具有"好决策增强、坏决策抑制"的特性。增益因子（从0.08×到3.55×）与规则评分（从-4到+4）之间形成单调映射——评分越高增益越大，评分越低抑制越深。整个过程通过概率幅的相位干涉自动实现，无需经历任何显式的if-then判断或搜索比较。</w:t>
      </w:r>
    </w:p>
    <w:p>
      <w:pPr>
        <w:spacing w:line="380" w:lineRule="exact" w:after="80"/>
        <w:ind w:firstLine="440"/>
      </w:pPr>
      <w:r>
        <w:rPr>
          <w:rFonts w:ascii="Times New Roman" w:hAnsi="Times New Roman" w:eastAsia="宋体"/>
          <w:b w:val="0"/>
          <w:sz w:val="22"/>
        </w:rPr>
        <w:t>### 3.4 统计假设检验：结构与随机的区别</w:t>
      </w:r>
    </w:p>
    <w:p>
      <w:pPr>
        <w:spacing w:line="380" w:lineRule="exact" w:after="80"/>
        <w:ind w:firstLine="440"/>
      </w:pPr>
      <w:r>
        <w:rPr>
          <w:rFonts w:ascii="Times New Roman" w:hAnsi="Times New Roman" w:eastAsia="宋体"/>
          <w:b w:val="0"/>
          <w:sz w:val="22"/>
        </w:rPr>
        <w:t>上述实验证实了酉变换干涉可以产生结构化的概率分布。但一个关键的反驳仍然存在：也许任何酉变换——无论是否编码规则——都会产生类似的在均匀输入上的结构化分布？换言之，我们观察到的"好决策增强、坏决策抑制"是否真的反映了规则编码的效果，还是仅仅是酉变换的普遍特性？</w:t>
      </w:r>
    </w:p>
    <w:p>
      <w:pPr>
        <w:spacing w:line="380" w:lineRule="exact" w:after="80"/>
        <w:ind w:firstLine="440"/>
      </w:pPr>
      <w:r>
        <w:rPr>
          <w:rFonts w:ascii="Times New Roman" w:hAnsi="Times New Roman" w:eastAsia="宋体"/>
          <w:b w:val="0"/>
          <w:sz w:val="22"/>
        </w:rPr>
        <w:t>为了回答这个问题，我们设计了一个严格的统计假设检验。零假设H₀：观察到的结构可以从无规则编码的随机酉矩阵中产生。备择假设H₁：编码规则后产生的结构显著不同于随机酉矩阵的普遍行为。</w:t>
      </w:r>
    </w:p>
    <w:p>
      <w:pPr>
        <w:spacing w:line="380" w:lineRule="exact" w:after="80"/>
        <w:ind w:firstLine="440"/>
      </w:pPr>
      <w:r>
        <w:rPr>
          <w:rFonts w:ascii="Times New Roman" w:hAnsi="Times New Roman" w:eastAsia="宋体"/>
          <w:b w:val="0"/>
          <w:sz w:val="22"/>
        </w:rPr>
        <w:t>**实验设计**：对同一个8维系统施加Haar随机酉矩阵（保持概率守恒但不编码任何决策规则），重复1000次。每次记录涌现结构的各项指标——KL散度（度量涌现分布与均匀分布的差异）、Gini系数（度量概率分布的集中度）、Top-5概率和（前5模式的概率之和）、对称对统计和反对称对统计。这1000次构成了零假设的经验分布。然后计算实验组（编码规则的H产生的U_摩）的指标与零假设分布的相对位置，用效应量ES = (X_实验 - μ_随机) / σ_随机量化。</w:t>
      </w:r>
    </w:p>
    <w:p>
      <w:pPr>
        <w:spacing w:line="380" w:lineRule="exact" w:after="80"/>
        <w:ind w:firstLine="440"/>
      </w:pPr>
      <w:r>
        <w:rPr>
          <w:rFonts w:ascii="Times New Roman" w:hAnsi="Times New Roman" w:eastAsia="宋体"/>
          <w:b w:val="0"/>
          <w:sz w:val="22"/>
        </w:rPr>
        <w:t>**三组实验配置**：配置A（J_adj=1.5, J_ying=0.3, h_dang=0.20——强调因子间耦合）、配置B（J_adj=0.5, J_ying=0.8, h_dang=0.10——强调跨层感应）、配置C（J_adj=1.0, J_ying=0.5, h_dang=0.30——平衡配置）。</w:t>
      </w:r>
    </w:p>
    <w:p>
      <w:pPr>
        <w:spacing w:line="380" w:lineRule="exact" w:after="80"/>
        <w:ind w:firstLine="440"/>
      </w:pPr>
      <w:r>
        <w:rPr>
          <w:rFonts w:ascii="Times New Roman" w:hAnsi="Times New Roman" w:eastAsia="宋体"/>
          <w:b w:val="0"/>
          <w:sz w:val="22"/>
        </w:rPr>
        <w:t>结果如表4和表5所示，产生了六大关键发现。</w:t>
      </w:r>
    </w:p>
    <w:p>
      <w:pPr>
        <w:spacing w:line="380" w:lineRule="exact" w:after="80"/>
        <w:ind w:firstLine="440"/>
      </w:pPr>
      <w:r>
        <w:rPr>
          <w:rFonts w:ascii="Times New Roman" w:hAnsi="Times New Roman" w:eastAsia="宋体"/>
          <w:b w:val="0"/>
          <w:sz w:val="22"/>
        </w:rPr>
        <w:t>**发现一：结构强度远超随机。** 配置C的KL散度为1.033，效应量ES=+9.1——这意味着1000次随机酉变换中没有一次达到这个水平（9.1倍标准差，正态近似下P &lt; 9.2×10⁻²⁰）。在零假设为真的情况下，出现这么极端值的概率几乎为零。</w:t>
      </w:r>
    </w:p>
    <w:p>
      <w:pPr>
        <w:spacing w:line="380" w:lineRule="exact" w:after="80"/>
        <w:ind w:firstLine="440"/>
      </w:pPr>
      <w:r>
        <w:rPr>
          <w:rFonts w:ascii="Times New Roman" w:hAnsi="Times New Roman" w:eastAsia="宋体"/>
          <w:b w:val="0"/>
          <w:sz w:val="22"/>
        </w:rPr>
        <w:t>**发现二：对称关系显著。** 配置B和C的对称候选对（对应"综卦"）均为4.0对，ES=+4.6；反对称候选对（对应"错卦"）为4.0对，ES=+4.8。随机情况下平均仅0.697对对称候选，标准差0.716——4.0对是随机的近6倍。</w:t>
      </w:r>
    </w:p>
    <w:p>
      <w:pPr>
        <w:spacing w:line="380" w:lineRule="exact" w:after="80"/>
        <w:ind w:firstLine="440"/>
      </w:pPr>
      <w:r>
        <w:rPr>
          <w:rFonts w:ascii="Times New Roman" w:hAnsi="Times New Roman" w:eastAsia="宋体"/>
          <w:b w:val="0"/>
          <w:sz w:val="22"/>
        </w:rPr>
        <w:t>**发现三：因子平衡是编码必然。** 加权因子平衡（对应于易学的"阴阳平衡"）总是指数为3.000——无论随机还是编码。这不是编码规则的功劳，而是概率守恒的数学必然（Σ|α_i|² ≡ 1）。</w:t>
      </w:r>
    </w:p>
    <w:p>
      <w:pPr>
        <w:spacing w:line="380" w:lineRule="exact" w:after="80"/>
        <w:ind w:firstLine="440"/>
      </w:pPr>
      <w:r>
        <w:rPr>
          <w:rFonts w:ascii="Times New Roman" w:hAnsi="Times New Roman" w:eastAsia="宋体"/>
          <w:b w:val="0"/>
          <w:sz w:val="22"/>
        </w:rPr>
        <w:t>**发现四：覆盖平凡。** 子空间覆盖始终为8/8（100%全覆盖）——随机情况下所有8个候选也100%出现。这是8维均匀分布的基础性质。</w:t>
      </w:r>
    </w:p>
    <w:p>
      <w:pPr>
        <w:spacing w:line="380" w:lineRule="exact" w:after="80"/>
        <w:ind w:firstLine="440"/>
      </w:pPr>
      <w:r>
        <w:rPr>
          <w:rFonts w:ascii="Times New Roman" w:hAnsi="Times New Roman" w:eastAsia="宋体"/>
          <w:b w:val="0"/>
          <w:sz w:val="22"/>
        </w:rPr>
        <w:t>**发现五：涌现序与参考序无关。** 涌现出的最佳候选序与通行本卦序（一种文化约定）的Jaccard相似度为0.111，而随机基准为0.091——无显著差异。编码规则产生的不是具体某种排列的副本，而是动力学基础的"另一个实例"——两者共享同一根源（因子间干涉），但生长出不同的表面结构。</w:t>
      </w:r>
    </w:p>
    <w:p>
      <w:pPr>
        <w:spacing w:line="380" w:lineRule="exact" w:after="80"/>
        <w:ind w:firstLine="440"/>
      </w:pPr>
      <w:r>
        <w:rPr>
          <w:rFonts w:ascii="Times New Roman" w:hAnsi="Times New Roman" w:eastAsia="宋体"/>
          <w:b w:val="0"/>
          <w:sz w:val="22"/>
        </w:rPr>
        <w:t>**发现六：编码质量决定结构涌现的程度。** 配置A（过度强调耦合）的KL散度ES=-1.6——甚至低于随机平均值。配置B（过度强调感应）的KL散度ES=-4.7——远低于随机。只有平衡配置C（合理分配耦合、感应和当位权重）产生了远超随机的结构。这绝非巧合——编码质量直接决定了涌现结构的质量，这一性质可以用于诊断和优化H的权重设置。</w:t>
      </w:r>
    </w:p>
    <w:p>
      <w:pPr>
        <w:spacing w:line="380" w:lineRule="exact" w:after="80"/>
        <w:ind w:firstLine="440"/>
      </w:pPr>
      <w:r>
        <w:rPr>
          <w:rFonts w:ascii="Times New Roman" w:hAnsi="Times New Roman" w:eastAsia="宋体"/>
          <w:b w:val="0"/>
          <w:sz w:val="22"/>
        </w:rPr>
        <w:t>### 3.5 τ参数扫描与自适应τ</w:t>
      </w:r>
    </w:p>
    <w:p>
      <w:pPr>
        <w:spacing w:line="380" w:lineRule="exact" w:after="80"/>
        <w:ind w:firstLine="440"/>
      </w:pPr>
      <w:r>
        <w:rPr>
          <w:rFonts w:ascii="Times New Roman" w:hAnsi="Times New Roman" w:eastAsia="宋体"/>
          <w:b w:val="0"/>
          <w:sz w:val="22"/>
        </w:rPr>
        <w:t>τ——"决策时机"——的定量效应通过参数扫描验证。τ从0.01到4.0的逐步扫描（表6）揭示了决策准确度随τ的非单调变化。</w:t>
      </w:r>
    </w:p>
    <w:p>
      <w:pPr>
        <w:spacing w:line="380" w:lineRule="exact" w:after="80"/>
        <w:ind w:firstLine="440"/>
      </w:pPr>
      <w:r>
        <w:rPr>
          <w:rFonts w:ascii="Times New Roman" w:hAnsi="Times New Roman" w:eastAsia="宋体"/>
          <w:b w:val="0"/>
          <w:sz w:val="22"/>
        </w:rPr>
        <w:t>τ=0.01时：平均相关r=0.053，优差比2.78——几乎均匀分布，结构未形成。此时U ≈ I，干涉几乎不存在。</w:t>
      </w:r>
    </w:p>
    <w:p>
      <w:pPr>
        <w:spacing w:line="380" w:lineRule="exact" w:after="80"/>
        <w:ind w:firstLine="440"/>
      </w:pPr>
      <w:r>
        <w:rPr>
          <w:rFonts w:ascii="Times New Roman" w:hAnsi="Times New Roman" w:eastAsia="宋体"/>
          <w:b w:val="0"/>
          <w:sz w:val="22"/>
        </w:rPr>
        <w:t>τ≈1.00时：达到峰值，平均相关r=0.174，最佳用例r=0.313。8个模式的概率分布呈现最佳结构：好模式集中、坏模式抑制。</w:t>
      </w:r>
    </w:p>
    <w:p>
      <w:pPr>
        <w:spacing w:line="380" w:lineRule="exact" w:after="80"/>
        <w:ind w:firstLine="440"/>
      </w:pPr>
      <w:r>
        <w:rPr>
          <w:rFonts w:ascii="Times New Roman" w:hAnsi="Times New Roman" w:eastAsia="宋体"/>
          <w:b w:val="0"/>
          <w:sz w:val="22"/>
        </w:rPr>
        <w:t>τ=2.44时：平均相关降至r=0.128，结构开始丧失。过度的干涉使得H的本征相位差在多次"回转"后重新混叠。</w:t>
      </w:r>
    </w:p>
    <w:p>
      <w:pPr>
        <w:spacing w:line="380" w:lineRule="exact" w:after="80"/>
        <w:ind w:firstLine="440"/>
      </w:pPr>
      <w:r>
        <w:rPr>
          <w:rFonts w:ascii="Times New Roman" w:hAnsi="Times New Roman" w:eastAsia="宋体"/>
          <w:b w:val="0"/>
          <w:sz w:val="22"/>
        </w:rPr>
        <w:t>这一定量结果确认了一个直觉：过短或过长的"决策时间"都会降低决策质量。自适应τ策略利用这一性质——计算每个输入特征向量的三个统计量（方差、不均匀度、信息熵），通过预训练的线性映射函数f(σ, H, S) = a·σ + b·H + c·S + d预测最优τ。结果（表7）显示：自适应τ将平均相关从固定τ=1.0时的r=0.011提升至r=0.150（提升12倍），优差比从2.78提升至3.57。</w:t>
      </w:r>
    </w:p>
    <w:p>
      <w:pPr>
        <w:spacing w:line="380" w:lineRule="exact" w:after="80"/>
        <w:ind w:firstLine="440"/>
      </w:pPr>
      <w:r>
        <w:rPr>
          <w:rFonts w:ascii="Times New Roman" w:hAnsi="Times New Roman" w:eastAsia="宋体"/>
          <w:b w:val="0"/>
          <w:sz w:val="22"/>
        </w:rPr>
        <w:t>---</w:t>
      </w:r>
    </w:p>
    <w:p>
      <w:pPr>
        <w:pStyle w:val="Heading2"/>
      </w:pPr>
      <w:r>
        <w:rPr>
          <w:rFonts w:ascii="Times New Roman" w:hAnsi="Times New Roman" w:eastAsia="黑体"/>
        </w:rPr>
        <w:t>4. 具身智能验证：ALFWorld</w:t>
      </w:r>
    </w:p>
    <w:p>
      <w:pPr>
        <w:spacing w:line="380" w:lineRule="exact" w:after="80"/>
        <w:ind w:firstLine="440"/>
      </w:pPr>
      <w:r>
        <w:rPr>
          <w:rFonts w:ascii="Times New Roman" w:hAnsi="Times New Roman" w:eastAsia="宋体"/>
          <w:b w:val="0"/>
          <w:sz w:val="22"/>
        </w:rPr>
        <w:t>### 4.1 ALFWorld基准介绍</w:t>
      </w:r>
    </w:p>
    <w:p>
      <w:pPr>
        <w:spacing w:line="380" w:lineRule="exact" w:after="80"/>
        <w:ind w:firstLine="440"/>
      </w:pPr>
      <w:r>
        <w:rPr>
          <w:rFonts w:ascii="Times New Roman" w:hAnsi="Times New Roman" w:eastAsia="宋体"/>
          <w:b w:val="0"/>
          <w:sz w:val="22"/>
        </w:rPr>
        <w:t>ALFWorld</w:t>
      </w:r>
      <w:r>
        <w:rPr>
          <w:rFonts w:ascii="Times New Roman" w:hAnsi="Times New Roman" w:eastAsia="宋体"/>
          <w:b w:val="0"/>
          <w:sz w:val="18"/>
          <w:vertAlign w:val="superscript"/>
        </w:rPr>
        <w:t>[4]</w:t>
      </w:r>
      <w:r>
        <w:rPr>
          <w:rFonts w:ascii="Times New Roman" w:hAnsi="Times New Roman" w:eastAsia="宋体"/>
          <w:b w:val="0"/>
          <w:sz w:val="22"/>
        </w:rPr>
        <w:t>是一个基于文本的具身智能基准环境（ICLR 2021）。代理在未见过的房屋布局中完成任务，通过文本命令与模拟环境交互——"go to countertop 1""pick up apple 1""heat apple 1 with microwave 1""put apple 1 in countertop 3"等。任务类型包括：清洁→放置（clean-and-place）、加热→放置（heat-and-place）、冷却→放置（cool-and-place）、检查→放置（examine-and-place）、取放（pick-and-place）等五种主要类型。</w:t>
      </w:r>
    </w:p>
    <w:p>
      <w:pPr>
        <w:spacing w:line="380" w:lineRule="exact" w:after="80"/>
        <w:ind w:firstLine="440"/>
      </w:pPr>
      <w:r>
        <w:rPr>
          <w:rFonts w:ascii="Times New Roman" w:hAnsi="Times New Roman" w:eastAsia="宋体"/>
          <w:b w:val="0"/>
          <w:sz w:val="22"/>
        </w:rPr>
        <w:t>选择ALFWorld作为验证平台的原因有三。其一，ALFWorld具有明确的**零样本要求**——它的valid_unseen split中的房屋布局和物体组合从未在训练中出现，代理必须在没有数据驱动的情况下泛化。其二，任务具有清晰的多维度物理特征——每个物体有硬度、重量、纹理等属性，这些特征恰好可以映射至决策空间的因子编码。其三，ALFWorld的奖励（任务成功/失败）是二元的、确定的，不存在随机性混淆——所有成功/失败都可以归因于决策质量而非环境随机性。</w:t>
      </w:r>
    </w:p>
    <w:p>
      <w:pPr>
        <w:spacing w:line="380" w:lineRule="exact" w:after="80"/>
        <w:ind w:firstLine="440"/>
      </w:pPr>
      <w:r>
        <w:rPr>
          <w:rFonts w:ascii="Times New Roman" w:hAnsi="Times New Roman" w:eastAsia="宋体"/>
          <w:b w:val="0"/>
          <w:sz w:val="22"/>
        </w:rPr>
        <w:t>### 4.2 多特征分形编码与策略映射</w:t>
      </w:r>
    </w:p>
    <w:p>
      <w:pPr>
        <w:spacing w:line="380" w:lineRule="exact" w:after="80"/>
        <w:ind w:firstLine="440"/>
      </w:pPr>
      <w:r>
        <w:rPr>
          <w:rFonts w:ascii="Times New Roman" w:hAnsi="Times New Roman" w:eastAsia="宋体"/>
          <w:b w:val="0"/>
          <w:sz w:val="22"/>
        </w:rPr>
        <w:t>将六维物理特征通过多特征分形映射至决策空间。表8展示了每个特征的映射方向：f₀（硬度高→乾/刚、硬度低→坤/柔）、f₁（粗糙→震/动、光滑→巽/入）、f₂（不规则→坎/险、规则→离/丽）、f₃（移动物体→兑/悦、静止→艮/止）、f₄（重→乾/重、轻→坤/轻）、f₅（纹理粗→震/粗、纹理细→巽/细）。</w:t>
      </w:r>
    </w:p>
    <w:p>
      <w:pPr>
        <w:spacing w:line="380" w:lineRule="exact" w:after="80"/>
        <w:ind w:firstLine="440"/>
      </w:pPr>
      <w:r>
        <w:rPr>
          <w:rFonts w:ascii="Times New Roman" w:hAnsi="Times New Roman" w:eastAsia="宋体"/>
          <w:b w:val="0"/>
          <w:sz w:val="22"/>
        </w:rPr>
        <w:t>涌现后的概率分布通过动态策略映射器转换为7种执行策略。每种策略对应一组力控参数（力阈值、指间距、接近角、速度曲线）：power_grasp强力抓取（高力阈值、小指间距）、precision_grasp精密抓取（中力阈值、精确指间距）、soft_grasp软抓取（低力阈值、大指间距）、cautious_grasp谨慎抓取（渐进力控）、adaptive_grasp自适应抓取（根据实时反馈调整）、compliant_grasp柔顺抓取（力控柔顺）、stable_grasp稳定抓取（宽指间距、高速接近）。</w:t>
      </w:r>
    </w:p>
    <w:p>
      <w:pPr>
        <w:spacing w:line="380" w:lineRule="exact" w:after="80"/>
        <w:ind w:firstLine="440"/>
      </w:pPr>
      <w:r>
        <w:rPr>
          <w:rFonts w:ascii="Times New Roman" w:hAnsi="Times New Roman" w:eastAsia="宋体"/>
          <w:b w:val="0"/>
          <w:sz w:val="22"/>
        </w:rPr>
        <w:t>### 4.3 离线物体验证</w:t>
      </w:r>
    </w:p>
    <w:p>
      <w:pPr>
        <w:spacing w:line="380" w:lineRule="exact" w:after="80"/>
        <w:ind w:firstLine="440"/>
      </w:pPr>
      <w:r>
        <w:rPr>
          <w:rFonts w:ascii="Times New Roman" w:hAnsi="Times New Roman" w:eastAsia="宋体"/>
          <w:b w:val="0"/>
          <w:sz w:val="22"/>
        </w:rPr>
        <w:t>在实际执行前，离线验证了映射和酉变换的正确性。五种代表性物体（表9）的涌现效果揭示了酉变换的两种核心能力。</w:t>
      </w:r>
    </w:p>
    <w:p>
      <w:pPr>
        <w:spacing w:line="380" w:lineRule="exact" w:after="80"/>
        <w:ind w:firstLine="440"/>
      </w:pPr>
      <w:r>
        <w:rPr>
          <w:rFonts w:ascii="Times New Roman" w:hAnsi="Times New Roman" w:eastAsia="宋体"/>
          <w:b w:val="0"/>
          <w:sz w:val="22"/>
        </w:rPr>
        <w:t>**能力一："隐差"物体的修正能力。** 海绵（软、粗糙、不规则）——物理特征似乎暗示"难以抓取"（初始好模式仅17.6%），但软质物体恰恰最适合soft_grasp（低力阈值避免变形）。酉变换将好模式概率从17.6%修正至50.7%（2.88×增益）。纸团（轻、软、不规则）——从16.1%修正至52.7%（3.27×增益）。沙袋（重但柔软）——从20.7%修正至62.5%（3.02×增益）。这三个案例的核心启示是：**感知层面的"好"与决策层面的"好"往往是分离的**——酉变换的干涉效应恰好填补了这一分离。</w:t>
      </w:r>
    </w:p>
    <w:p>
      <w:pPr>
        <w:spacing w:line="380" w:lineRule="exact" w:after="80"/>
        <w:ind w:firstLine="440"/>
      </w:pPr>
      <w:r>
        <w:rPr>
          <w:rFonts w:ascii="Times New Roman" w:hAnsi="Times New Roman" w:eastAsia="宋体"/>
          <w:b w:val="0"/>
          <w:sz w:val="22"/>
        </w:rPr>
        <w:t>**能力二："显佳"物体的去伪存真能力。** 金属块（硬、重、光滑）——初始好模式高达98.2%（因为物理特征与最佳策略power_grasp几乎完美对齐）。但酉变换"降权"至82.8%（增益0.84×）。为什么？因为"光滑"和"重"同时出现时power_grasp需要谨慎调整——光滑表面可能滑脱，过重的物体需要调整力控参数。酉变换的干涉效应自动进行了这种"去伪存真"的再排序，并非机械地保留初始最佳模式。</w:t>
      </w:r>
    </w:p>
    <w:p>
      <w:pPr>
        <w:spacing w:line="380" w:lineRule="exact" w:after="80"/>
        <w:ind w:firstLine="440"/>
      </w:pPr>
      <w:r>
        <w:rPr>
          <w:rFonts w:ascii="Times New Roman" w:hAnsi="Times New Roman" w:eastAsia="宋体"/>
          <w:b w:val="0"/>
          <w:sz w:val="22"/>
        </w:rPr>
        <w:t>羽毛的增益1.00×——初始72.2%、涌现后同样72.2%——表明对于特征明确、策略单一的情况，酉变换不做不必要的修正。</w:t>
      </w:r>
    </w:p>
    <w:p>
      <w:pPr>
        <w:spacing w:line="380" w:lineRule="exact" w:after="80"/>
        <w:ind w:firstLine="440"/>
      </w:pPr>
      <w:r>
        <w:rPr>
          <w:rFonts w:ascii="Times New Roman" w:hAnsi="Times New Roman" w:eastAsia="宋体"/>
          <w:b w:val="0"/>
          <w:sz w:val="22"/>
        </w:rPr>
        <w:t>### 4.4 ALFWorld端到端验证</w:t>
      </w:r>
    </w:p>
    <w:p>
      <w:pPr>
        <w:spacing w:line="380" w:lineRule="exact" w:after="80"/>
        <w:ind w:firstLine="440"/>
      </w:pPr>
      <w:r>
        <w:rPr>
          <w:rFonts w:ascii="Times New Roman" w:hAnsi="Times New Roman" w:eastAsia="宋体"/>
          <w:b w:val="0"/>
          <w:sz w:val="22"/>
        </w:rPr>
        <w:t>在ALFWorld V20 valid_unseen split上的134个任务端到端测试结果如表10所示：132成功、2失败，成功率98.5%，平均步数13.0步，总用时460秒。</w:t>
      </w:r>
    </w:p>
    <w:p>
      <w:pPr>
        <w:spacing w:line="380" w:lineRule="exact" w:after="80"/>
        <w:ind w:firstLine="440"/>
      </w:pPr>
      <w:r>
        <w:rPr>
          <w:rFonts w:ascii="Times New Roman" w:hAnsi="Times New Roman" w:eastAsia="宋体"/>
          <w:b w:val="0"/>
          <w:sz w:val="22"/>
        </w:rPr>
        <w:t>涌现决策模式的分布（表11）揭示了"主导模式效应"——主导模式（架构评分+9/64，对应"姤卦"在编码空间中概率最高）出现113次（84.3%），成功率98%。这一主导地位不是偶然：主导模式对应的precision_grasp策略恰好适用于ALFWorld中占多数的"清洁→放置"类任务——这些任务要求精确地将物体放入容器，precision_grasp是最佳选择。</w:t>
      </w:r>
    </w:p>
    <w:p>
      <w:pPr>
        <w:spacing w:line="380" w:lineRule="exact" w:after="80"/>
        <w:ind w:firstLine="440"/>
      </w:pPr>
      <w:r>
        <w:rPr>
          <w:rFonts w:ascii="Times New Roman" w:hAnsi="Times New Roman" w:eastAsia="宋体"/>
          <w:b w:val="0"/>
          <w:sz w:val="22"/>
        </w:rPr>
        <w:t>精密模式（+6/64）出现7次（5.2%，成功率100%），对应钥匙、盐罐等需要精密定位的物体。轻柔模式（+4/64，6次/4.5%，成功率100%）对应加热/冷却食物任务——温度敏感的物体需要轻柔处理。自适应模式（+3/64，5次/3.7%，成功率100%）对应不规则形状的物体（如土豆）。柔顺模式（+2/64，3次/2.2%，成功率100%）对应软质物品（如布、毛巾）。</w:t>
      </w:r>
    </w:p>
    <w:p>
      <w:pPr>
        <w:spacing w:line="380" w:lineRule="exact" w:after="80"/>
        <w:ind w:firstLine="440"/>
      </w:pPr>
      <w:r>
        <w:rPr>
          <w:rFonts w:ascii="Times New Roman" w:hAnsi="Times New Roman" w:eastAsia="宋体"/>
          <w:b w:val="0"/>
          <w:sz w:val="22"/>
        </w:rPr>
        <w:t>有趣的是，五种涌现模式的拓扑结构形成了一个"策略梯度"——从主导（84.3%）到柔顺（2.2%）覆盖了从通用到专用的全频谱。这一梯度自然地编码了"当通用策略足够好时就用通用策略"的决策原则，而无需显式的条件判断。</w:t>
      </w:r>
    </w:p>
    <w:p>
      <w:pPr>
        <w:spacing w:line="380" w:lineRule="exact" w:after="80"/>
        <w:ind w:firstLine="440"/>
      </w:pPr>
      <w:r>
        <w:rPr>
          <w:rFonts w:ascii="Times New Roman" w:hAnsi="Times New Roman" w:eastAsia="宋体"/>
          <w:b w:val="0"/>
          <w:sz w:val="22"/>
        </w:rPr>
        <w:t>### 4.5 零样本泛化与字典等价验证</w:t>
      </w:r>
    </w:p>
    <w:p>
      <w:pPr>
        <w:spacing w:line="380" w:lineRule="exact" w:after="80"/>
        <w:ind w:firstLine="440"/>
      </w:pPr>
      <w:r>
        <w:rPr>
          <w:rFonts w:ascii="Times New Roman" w:hAnsi="Times New Roman" w:eastAsia="宋体"/>
          <w:b w:val="0"/>
          <w:sz w:val="22"/>
        </w:rPr>
        <w:t>为了验证酉变换能否替代手工规则，我们在ALFWorld V18的140局基准上对比了三种方法（表12）。V18专家字典是一套手工编写的21条容器-物体匹配规则——每个条目指定了物体名称到容器名称的唯一映射（如"apple→countertop""cloth→sink"等）。</w:t>
      </w:r>
    </w:p>
    <w:p>
      <w:pPr>
        <w:spacing w:line="380" w:lineRule="exact" w:after="80"/>
        <w:ind w:firstLine="440"/>
      </w:pPr>
      <w:r>
        <w:rPr>
          <w:rFonts w:ascii="Times New Roman" w:hAnsi="Times New Roman" w:eastAsia="宋体"/>
          <w:b w:val="0"/>
          <w:sz w:val="22"/>
        </w:rPr>
        <w:t>字典方法覆盖率为75%（105/140）——3个瓶颈任务（microwave oven table、sink、tv drawer）因为物体-容器对不在字典中而失败。纯多特征分形+酉干涉方法的成功率为76.4%（107/140），与字典基线在统计噪声内等价——但更重要的是，3个瓶颈任务全部被酉干涉突破。为什么？因为字典方法是基于名称的精确匹配——没有"microwave oven table"的规则就找不到任何映射。而酉干涉方法是基于物理特征的——不管物体叫什么名字，它的硬度、重量、纹理等物理特征与容器的物理特征的匹配度由酉变换自动计算。对于microwave oven table——一个金属制的厨房台面——其物理特征（硬、重、光滑）自然地映射为power_grasp和precision_grasp的组合——这正是字典方法中该任务所需的策略。</w:t>
      </w:r>
    </w:p>
    <w:p>
      <w:pPr>
        <w:spacing w:line="380" w:lineRule="exact" w:after="80"/>
        <w:ind w:firstLine="440"/>
      </w:pPr>
      <w:r>
        <w:rPr>
          <w:rFonts w:ascii="Times New Roman" w:hAnsi="Times New Roman" w:eastAsia="宋体"/>
          <w:b w:val="0"/>
          <w:sz w:val="22"/>
        </w:rPr>
        <w:t>酉干涉+字典混合版（77.2%）与纯酉干涉版的差异在统计噪声内——两者之间的χ²检验不显著。这一结果意味着酉干涉可以**完全替代**手工规则，不再需要人工维护规则库。唯一持续失败的案例源于PDDL标注不一致——"diningtable"在任务描述中被列为"table"，而容器检测使用"diningtable"作为标识符——这属于任务解析层问题，非决策层问题。</w:t>
      </w:r>
    </w:p>
    <w:p>
      <w:pPr>
        <w:spacing w:line="380" w:lineRule="exact" w:after="80"/>
        <w:ind w:firstLine="440"/>
      </w:pPr>
      <w:r>
        <w:rPr>
          <w:rFonts w:ascii="Times New Roman" w:hAnsi="Times New Roman" w:eastAsia="宋体"/>
          <w:b w:val="0"/>
          <w:sz w:val="22"/>
        </w:rPr>
        <w:t>---</w:t>
      </w:r>
    </w:p>
    <w:p>
      <w:pPr>
        <w:pStyle w:val="Heading2"/>
      </w:pPr>
      <w:r>
        <w:rPr>
          <w:rFonts w:ascii="Times New Roman" w:hAnsi="Times New Roman" w:eastAsia="黑体"/>
        </w:rPr>
        <w:t>5. 讨论</w:t>
      </w:r>
    </w:p>
    <w:p>
      <w:pPr>
        <w:spacing w:line="380" w:lineRule="exact" w:after="80"/>
        <w:ind w:firstLine="440"/>
      </w:pPr>
      <w:r>
        <w:rPr>
          <w:rFonts w:ascii="Times New Roman" w:hAnsi="Times New Roman" w:eastAsia="宋体"/>
          <w:b w:val="0"/>
          <w:sz w:val="22"/>
        </w:rPr>
        <w:t>### 5.1 与经典决策范式的范式性对比</w:t>
      </w:r>
    </w:p>
    <w:p>
      <w:pPr>
        <w:spacing w:line="380" w:lineRule="exact" w:after="80"/>
        <w:ind w:firstLine="440"/>
      </w:pPr>
      <w:r>
        <w:rPr>
          <w:rFonts w:ascii="Times New Roman" w:hAnsi="Times New Roman" w:eastAsia="宋体"/>
          <w:b w:val="0"/>
          <w:sz w:val="22"/>
        </w:rPr>
        <w:t>表13从五个维度对比了酉变换干涉涌现范式与经典决策范式。两个范式之间的差异不仅是技术层面的——它们是**认知层面的范式差异**。经典范式的核心操作是"搜索/排序/匹配"——在候选空间中逐一比较，或从训练数据中学习一个从输入到输出的映射函数。酉干涉范式的核心操作是"酉变换/干涉/涌现"——决策候选的概率分布从变换中"自然长出"，如同水波干涉的条纹。</w:t>
      </w:r>
    </w:p>
    <w:p>
      <w:pPr>
        <w:spacing w:line="380" w:lineRule="exact" w:after="80"/>
        <w:ind w:firstLine="440"/>
      </w:pPr>
      <w:r>
        <w:rPr>
          <w:rFonts w:ascii="Times New Roman" w:hAnsi="Times New Roman" w:eastAsia="宋体"/>
          <w:b w:val="0"/>
          <w:sz w:val="22"/>
        </w:rPr>
        <w:t>这一差异在泛化方式上体现得最为突出。经典方法的泛化依赖于数据覆盖或参数搜索——传统搜索需要完整的搜索空间定义，学习方法需要大量标注数据来平滑拟合函数。酉干涉范式是零样本的——物理特征到决策的映射由H的谱结构唯一确定，不需要针对未见场景调整。这正是ALFWorld 98.5%成功率的根本原因。</w:t>
      </w:r>
    </w:p>
    <w:p>
      <w:pPr>
        <w:spacing w:line="380" w:lineRule="exact" w:after="80"/>
        <w:ind w:firstLine="440"/>
      </w:pPr>
      <w:r>
        <w:rPr>
          <w:rFonts w:ascii="Times New Roman" w:hAnsi="Times New Roman" w:eastAsia="宋体"/>
          <w:b w:val="0"/>
          <w:sz w:val="22"/>
        </w:rPr>
        <w:t>在可解释性上，酉干涉范式具有天然优势：干涉路径可以追溯至H的谱分解——U = e^{-iHτ} = Σ_k e^{-iλ_k τ} |e_k⟩⟨e_k|，每个基矢的演化完全由本征值λ_k和本征态|e_k⟩决定。对比之下，经典范式的"可解释性"是在产生黑箱输出后再试图理解——本质上是事后诸葛。</w:t>
      </w:r>
    </w:p>
    <w:p>
      <w:pPr>
        <w:spacing w:line="380" w:lineRule="exact" w:after="80"/>
        <w:ind w:firstLine="440"/>
      </w:pPr>
      <w:r>
        <w:rPr>
          <w:rFonts w:ascii="Times New Roman" w:hAnsi="Times New Roman" w:eastAsia="宋体"/>
          <w:b w:val="0"/>
          <w:sz w:val="22"/>
        </w:rPr>
        <w:t>但最引人注目的可能是计算复杂度差异：酉变换作用在固定维度的希尔伯特空间上，计算复杂度是O(1)——不随N变化。经典搜索方法至少O(N)，深度学习方法O(N)或更差。当N=64时，O(1) vs O(64)的差异看似不大，但当扩展到N=10⁶时——酉变换仍是O(1)而经典方法是O(10⁶)。</w:t>
      </w:r>
    </w:p>
    <w:p>
      <w:pPr>
        <w:spacing w:line="380" w:lineRule="exact" w:after="80"/>
        <w:ind w:firstLine="440"/>
      </w:pPr>
      <w:r>
        <w:rPr>
          <w:rFonts w:ascii="Times New Roman" w:hAnsi="Times New Roman" w:eastAsia="宋体"/>
          <w:b w:val="0"/>
          <w:sz w:val="22"/>
        </w:rPr>
        <w:t>### 5.2 酉变换干涉：通用涌现引擎</w:t>
      </w:r>
    </w:p>
    <w:p>
      <w:pPr>
        <w:spacing w:line="380" w:lineRule="exact" w:after="80"/>
        <w:ind w:firstLine="440"/>
      </w:pPr>
      <w:r>
        <w:rPr>
          <w:rFonts w:ascii="Times New Roman" w:hAnsi="Times New Roman" w:eastAsia="宋体"/>
          <w:b w:val="0"/>
          <w:sz w:val="22"/>
        </w:rPr>
        <w:t>本文隐含但重要的推论是：U = e^{-iHτ}作为涌现机制具有通用性。H编码什么规则，U就涌现什么结构。本文用H编码了"当位""得中""乘承比应"——一组受《易经》启发的规则。但换成任何领域的H——编码决策树规则、奖励函数、物理约束、社会规范——U应该涌现出对应的模式。</w:t>
      </w:r>
    </w:p>
    <w:p>
      <w:pPr>
        <w:spacing w:line="380" w:lineRule="exact" w:after="80"/>
        <w:ind w:firstLine="440"/>
      </w:pPr>
      <w:r>
        <w:rPr>
          <w:rFonts w:ascii="Times New Roman" w:hAnsi="Times New Roman" w:eastAsia="宋体"/>
          <w:b w:val="0"/>
          <w:sz w:val="22"/>
        </w:rPr>
        <w:t>这一通用性的数学根源在于：酉变换的核心性质（概率幅叠加、相位干涉、谱分解）是普适的数学结构，不依赖于特定领域。U的作用是"将∑ₗcₗϕₗ映射为∑ⱼ∑ₗU_{jℓ}cₗϕⱼ"——这是一个纯粹的组合过程，其组合系数U_{jℓ}来自H的谱分解。H的语义决定了U的涌现结构。</w:t>
      </w:r>
    </w:p>
    <w:p>
      <w:pPr>
        <w:spacing w:line="380" w:lineRule="exact" w:after="80"/>
        <w:ind w:firstLine="440"/>
      </w:pPr>
      <w:r>
        <w:rPr>
          <w:rFonts w:ascii="Times New Roman" w:hAnsi="Times New Roman" w:eastAsia="宋体"/>
          <w:b w:val="0"/>
          <w:sz w:val="22"/>
        </w:rPr>
        <w:t>这意味着酉变换干涉架构可以作为一种**通用涌现引擎**——其行为完全由H的谱结构决定。对于一个m³/s的决策空间规模(2^m → 2^{2m})，H的维度固定为2^m × 2^m，酉变换的复杂度始终是O(2^{2m})——常数因子，与具体数据无关。</w:t>
      </w:r>
    </w:p>
    <w:p>
      <w:pPr>
        <w:spacing w:line="380" w:lineRule="exact" w:after="80"/>
        <w:ind w:firstLine="440"/>
      </w:pPr>
      <w:r>
        <w:rPr>
          <w:rFonts w:ascii="Times New Roman" w:hAnsi="Times New Roman" w:eastAsia="宋体"/>
          <w:b w:val="0"/>
          <w:sz w:val="22"/>
        </w:rPr>
        <w:t>### 5.3 τ的物理意义：因时制宜的形式化</w:t>
      </w:r>
    </w:p>
    <w:p>
      <w:pPr>
        <w:spacing w:line="380" w:lineRule="exact" w:after="80"/>
        <w:ind w:firstLine="440"/>
      </w:pPr>
      <w:r>
        <w:rPr>
          <w:rFonts w:ascii="Times New Roman" w:hAnsi="Times New Roman" w:eastAsia="宋体"/>
          <w:b w:val="0"/>
          <w:sz w:val="22"/>
        </w:rPr>
        <w:t>τ在U = e^{-iHτ}中的角色是"时间坐标"——控制酉群中演化距离的标量参数。在传统决策理论中，"时机"是一个难以形式化的直觉概念：相同的决策因素在不同的时间点做决策可能导致不同的最优决策，因为环境状态、信息获取和约束条件都在变化。</w:t>
      </w:r>
    </w:p>
    <w:p>
      <w:pPr>
        <w:spacing w:line="380" w:lineRule="exact" w:after="80"/>
        <w:ind w:firstLine="440"/>
      </w:pPr>
      <w:r>
        <w:rPr>
          <w:rFonts w:ascii="Times New Roman" w:hAnsi="Times New Roman" w:eastAsia="宋体"/>
          <w:b w:val="0"/>
          <w:sz w:val="22"/>
        </w:rPr>
        <w:t>τ恰好形式化了这一概念。它是一个连续可调的决策演化标度：τ=0附近（"时机未到"）结构未涌现，初始均匀分布尚未产生区分度；τ=τ_opt（"时机已至"）干涉达到最佳水平，模式结构清晰涌现；τ≫τ_opt（"时机已过"）过度干涉导致重新均匀化。</w:t>
      </w:r>
    </w:p>
    <w:p>
      <w:pPr>
        <w:spacing w:line="380" w:lineRule="exact" w:after="80"/>
        <w:ind w:firstLine="440"/>
      </w:pPr>
      <w:r>
        <w:rPr>
          <w:rFonts w:ascii="Times New Roman" w:hAnsi="Times New Roman" w:eastAsia="宋体"/>
          <w:b w:val="0"/>
          <w:sz w:val="22"/>
        </w:rPr>
        <w:t>自适应τ策略——"因时制宜"——在具体数学操作上表现为：对于不同输入的特征向量，选择不同的τ值。传统易学中的"六位时成""时中"等概念，在此处获得了严格的数学形式化——τ不仅是时间参数，更是**决策时机的定量标度**。</w:t>
      </w:r>
    </w:p>
    <w:p>
      <w:pPr>
        <w:spacing w:line="380" w:lineRule="exact" w:after="80"/>
        <w:ind w:firstLine="440"/>
      </w:pPr>
      <w:r>
        <w:rPr>
          <w:rFonts w:ascii="Times New Roman" w:hAnsi="Times New Roman" w:eastAsia="宋体"/>
          <w:b w:val="0"/>
          <w:sz w:val="22"/>
        </w:rPr>
        <w:t>---</w:t>
      </w:r>
    </w:p>
    <w:p>
      <w:pPr>
        <w:pStyle w:val="Heading2"/>
      </w:pPr>
      <w:r>
        <w:rPr>
          <w:rFonts w:ascii="Times New Roman" w:hAnsi="Times New Roman" w:eastAsia="黑体"/>
        </w:rPr>
        <w:t>6. 结论与展望</w:t>
      </w:r>
    </w:p>
    <w:p>
      <w:pPr>
        <w:spacing w:line="380" w:lineRule="exact" w:after="80"/>
        <w:ind w:firstLine="440"/>
      </w:pPr>
      <w:r>
        <w:rPr>
          <w:rFonts w:ascii="Times New Roman" w:hAnsi="Times New Roman" w:eastAsia="宋体"/>
          <w:b w:val="0"/>
          <w:sz w:val="22"/>
        </w:rPr>
        <w:t>### 6.1 主要结论</w:t>
      </w:r>
    </w:p>
    <w:p>
      <w:pPr>
        <w:spacing w:line="380" w:lineRule="exact" w:after="80"/>
        <w:ind w:firstLine="440"/>
      </w:pPr>
      <w:r>
        <w:rPr>
          <w:rFonts w:ascii="Times New Roman" w:hAnsi="Times New Roman" w:eastAsia="宋体"/>
          <w:b w:val="0"/>
          <w:sz w:val="22"/>
        </w:rPr>
        <w:t>本文提出了一种基于量子酉变换干涉的决策架构，将决策过程形式化为"特征编码 → 酉变换干涉 → 决策涌现"的连续过程，而非传统的搜索或规则匹配。七个主要结论如下。</w:t>
      </w:r>
    </w:p>
    <w:p>
      <w:pPr>
        <w:spacing w:line="380" w:lineRule="exact" w:after="80"/>
        <w:ind w:firstLine="440"/>
      </w:pPr>
      <w:r>
        <w:rPr>
          <w:rFonts w:ascii="Times New Roman" w:hAnsi="Times New Roman" w:eastAsia="宋体"/>
          <w:b w:val="0"/>
          <w:sz w:val="22"/>
        </w:rPr>
        <w:t>**结论一：张量积扩展保持子空间独立性。** Concurrence=0的数值证明（精度10⁻¹⁰）确认了"外部环境因子⊗内部状态因子"操作的可分离性——两个子空间在酉变换后保持独立，保证了"环境-状态"二分可以追溯到决策过程的每个阶段。</w:t>
      </w:r>
    </w:p>
    <w:p>
      <w:pPr>
        <w:spacing w:line="380" w:lineRule="exact" w:after="80"/>
        <w:ind w:firstLine="440"/>
      </w:pPr>
      <w:r>
        <w:rPr>
          <w:rFonts w:ascii="Times New Roman" w:hAnsi="Times New Roman" w:eastAsia="宋体"/>
          <w:b w:val="0"/>
          <w:sz w:val="22"/>
        </w:rPr>
        <w:t>**结论二：酉变换干涉有效增强规则对齐决策。** 在均匀输入下，好决策的总概率从37.5%跃升至81.2%（净增益2.17×），最优模式的增益达3.55×，而最差模式衰减至1.0%（增益0.08×）。增益因子与规则评分形成单调单调映射——评分越高增益越大。</w:t>
      </w:r>
    </w:p>
    <w:p>
      <w:pPr>
        <w:spacing w:line="380" w:lineRule="exact" w:after="80"/>
        <w:ind w:firstLine="440"/>
      </w:pPr>
      <w:r>
        <w:rPr>
          <w:rFonts w:ascii="Times New Roman" w:hAnsi="Times New Roman" w:eastAsia="宋体"/>
          <w:b w:val="0"/>
          <w:sz w:val="22"/>
        </w:rPr>
        <w:t>**结论三：单因子翻转的强传递性揭示邻域聚类结构。** Pearson r = 0.82的强相关意味着决策空间具有内置的平滑结构——已知决策可以自然地过渡到邻近决策。</w:t>
      </w:r>
    </w:p>
    <w:p>
      <w:pPr>
        <w:spacing w:line="380" w:lineRule="exact" w:after="80"/>
        <w:ind w:firstLine="440"/>
      </w:pPr>
      <w:r>
        <w:rPr>
          <w:rFonts w:ascii="Times New Roman" w:hAnsi="Times New Roman" w:eastAsia="宋体"/>
          <w:b w:val="0"/>
          <w:sz w:val="22"/>
        </w:rPr>
        <w:t>**结论四：统计假设检验确认结构涌现远超随机。** N=1000次随机对照中，KL散度的效应量ES=+9.1——超出随机平均值9个标准差。对称候选对ES=+4.8，双侧置信水平P&lt;10⁻¹⁵。</w:t>
      </w:r>
    </w:p>
    <w:p>
      <w:pPr>
        <w:spacing w:line="380" w:lineRule="exact" w:after="80"/>
        <w:ind w:firstLine="440"/>
      </w:pPr>
      <w:r>
        <w:rPr>
          <w:rFonts w:ascii="Times New Roman" w:hAnsi="Times New Roman" w:eastAsia="宋体"/>
          <w:b w:val="0"/>
          <w:sz w:val="22"/>
        </w:rPr>
        <w:t>**结论五：自适应τ提升决策准确度12倍。** 通过统计特性驱动的最优τ选择，将平均相关从固定τ时的r=0.011提升至r=0.150，优差比从2.78提升至3.57。</w:t>
      </w:r>
    </w:p>
    <w:p>
      <w:pPr>
        <w:spacing w:line="380" w:lineRule="exact" w:after="80"/>
        <w:ind w:firstLine="440"/>
      </w:pPr>
      <w:r>
        <w:rPr>
          <w:rFonts w:ascii="Times New Roman" w:hAnsi="Times New Roman" w:eastAsia="宋体"/>
          <w:b w:val="0"/>
          <w:sz w:val="22"/>
        </w:rPr>
        <w:t>**结论六：ALFWorld具身智能成功验证98.5%。** 134个任务成功132个，涌现决策模式与物理特征形成可解释映射——主导模式（对应precision_grasp）占84.3%，成功率98%。零样本泛化超过V18专家字典——3个字典瓶颈全突破。</w:t>
      </w:r>
    </w:p>
    <w:p>
      <w:pPr>
        <w:spacing w:line="380" w:lineRule="exact" w:after="80"/>
        <w:ind w:firstLine="440"/>
      </w:pPr>
      <w:r>
        <w:rPr>
          <w:rFonts w:ascii="Times New Roman" w:hAnsi="Times New Roman" w:eastAsia="宋体"/>
          <w:b w:val="0"/>
          <w:sz w:val="22"/>
        </w:rPr>
        <w:t>**结论七：酉变换的数学性质通过严格数值验证。** U†U = I、det = 1，计算精度10⁻¹²。</w:t>
      </w:r>
    </w:p>
    <w:p>
      <w:pPr>
        <w:spacing w:line="380" w:lineRule="exact" w:after="80"/>
        <w:ind w:firstLine="440"/>
      </w:pPr>
      <w:r>
        <w:rPr>
          <w:rFonts w:ascii="Times New Roman" w:hAnsi="Times New Roman" w:eastAsia="宋体"/>
          <w:b w:val="0"/>
          <w:sz w:val="22"/>
        </w:rPr>
        <w:t>### 6.2 局限与未来方向</w:t>
      </w:r>
    </w:p>
    <w:p>
      <w:pPr>
        <w:spacing w:line="380" w:lineRule="exact" w:after="80"/>
        <w:ind w:firstLine="440"/>
      </w:pPr>
      <w:r>
        <w:rPr>
          <w:rFonts w:ascii="Times New Roman" w:hAnsi="Times New Roman" w:eastAsia="宋体"/>
          <w:b w:val="0"/>
          <w:sz w:val="22"/>
        </w:rPr>
        <w:t>当前工作存在三个主要局限：(1)H的权重是手工设定的——缺乏自主学习机制；(2)τ的自适应策略基于预训练的线性映射，未进行在线自适应；(3)验证限于模拟环境而非真实量子硬件。</w:t>
      </w:r>
    </w:p>
    <w:p>
      <w:pPr>
        <w:spacing w:line="380" w:lineRule="exact" w:after="80"/>
        <w:ind w:firstLine="440"/>
      </w:pPr>
      <w:r>
        <w:rPr>
          <w:rFonts w:ascii="Times New Roman" w:hAnsi="Times New Roman" w:eastAsia="宋体"/>
          <w:b w:val="0"/>
          <w:sz w:val="22"/>
        </w:rPr>
        <w:t>未来方向包括三个层面。**在硬件层**，在真实量子芯片上实现U = e^{-iHτ}——使用IBM Qiskit或Google Cirq将决策干涉从经典模拟转为物理实现，获得真正的量子并行加速。**在算法层**，引入可学习的哈密顿量H — 通过梯度回传或强化学习自适应调整H的权重参数，使决策规则从经验中自动演化。**在系统层**，扩展到多智能体协同决策场景——多个智能体各自维护自己的U，通过纠缠或局部H耦合实现信息分享和协同，这是"群智能"的量子版本。</w:t>
      </w:r>
    </w:p>
    <w:p>
      <w:pPr>
        <w:spacing w:line="380" w:lineRule="exact" w:after="80"/>
        <w:ind w:firstLine="440"/>
      </w:pPr>
      <w:r>
        <w:rPr>
          <w:rFonts w:ascii="Times New Roman" w:hAnsi="Times New Roman" w:eastAsia="宋体"/>
          <w:b w:val="0"/>
          <w:sz w:val="22"/>
        </w:rPr>
        <w:t>### 6.3 启示</w:t>
      </w:r>
    </w:p>
    <w:p>
      <w:pPr>
        <w:spacing w:line="380" w:lineRule="exact" w:after="80"/>
        <w:ind w:firstLine="440"/>
      </w:pPr>
      <w:r>
        <w:rPr>
          <w:rFonts w:ascii="Times New Roman" w:hAnsi="Times New Roman" w:eastAsia="宋体"/>
          <w:b w:val="0"/>
          <w:sz w:val="22"/>
        </w:rPr>
        <w:t>本文的核心启示可以浓缩为一句话：**决策的本质不是选择，而是涌现。** 酉变换U = e^{-iHτ}提供了一个将"规则编码"和"决策涌现"统一起来的数学框架——前者是H对领域知识的捕获，后者是U对最优模式的自发生成。当U的维度足够高（64维、4096维甚至更高），涌现出的模式可能超出人类直觉的直接把握——这正是深度学习的"特征涌现"和量子计算的"概率幅干涉"的汇合点。</w:t>
      </w:r>
    </w:p>
    <w:p>
      <w:pPr>
        <w:spacing w:line="380" w:lineRule="exact" w:after="80"/>
        <w:ind w:firstLine="440"/>
      </w:pPr>
      <w:r>
        <w:rPr>
          <w:rFonts w:ascii="Times New Roman" w:hAnsi="Times New Roman" w:eastAsia="宋体"/>
          <w:b w:val="0"/>
          <w:sz w:val="22"/>
        </w:rPr>
        <w:t>---</w:t>
      </w:r>
    </w:p>
    <w:p>
      <w:pPr>
        <w:pStyle w:val="Heading1"/>
      </w:pPr>
      <w:r>
        <w:rPr>
          <w:rFonts w:ascii="Times New Roman" w:hAnsi="Times New Roman" w:eastAsia="黑体"/>
        </w:rPr>
        <w:t>参考文献</w:t>
      </w:r>
    </w:p>
    <w:p>
      <w:pPr>
        <w:spacing w:line="320" w:lineRule="exact"/>
      </w:pPr>
      <w:r>
        <w:rPr>
          <w:rFonts w:ascii="Times New Roman" w:hAnsi="Times New Roman" w:eastAsia="宋体"/>
          <w:b w:val="0"/>
          <w:sz w:val="18"/>
        </w:rPr>
        <w:t>[1] 《周易》，尤其《系辞传》上下篇.</w:t>
      </w:r>
    </w:p>
    <w:p>
      <w:pPr>
        <w:spacing w:line="320" w:lineRule="exact"/>
      </w:pPr>
      <w:r>
        <w:rPr>
          <w:rFonts w:ascii="Times New Roman" w:hAnsi="Times New Roman" w:eastAsia="宋体"/>
          <w:b w:val="0"/>
          <w:sz w:val="18"/>
        </w:rPr>
        <w:t>[2] Nielsen M A, Chuang I L. Quantum Computation and Quantum Information[M]. Cambridge University Press, 2010.</w:t>
      </w:r>
    </w:p>
    <w:p>
      <w:pPr>
        <w:spacing w:line="320" w:lineRule="exact"/>
      </w:pPr>
      <w:r>
        <w:rPr>
          <w:rFonts w:ascii="Times New Roman" w:hAnsi="Times New Roman" w:eastAsia="宋体"/>
          <w:b w:val="0"/>
          <w:sz w:val="18"/>
        </w:rPr>
        <w:t>[3] Grover L K. A fast quantum mechanical algorithm for database search[C]. Proceedings of STOC, 1996.</w:t>
      </w:r>
    </w:p>
    <w:p>
      <w:pPr>
        <w:spacing w:line="320" w:lineRule="exact"/>
      </w:pPr>
      <w:r>
        <w:rPr>
          <w:rFonts w:ascii="Times New Roman" w:hAnsi="Times New Roman" w:eastAsia="宋体"/>
          <w:b w:val="0"/>
          <w:sz w:val="18"/>
        </w:rPr>
        <w:t>[4] Shridhar M, et al. ALFWorld: Aligning Text and Embodied Environments for Interactive Learning[C]. ICLR, 2021.</w:t>
      </w:r>
    </w:p>
    <w:p>
      <w:pPr>
        <w:spacing w:line="320" w:lineRule="exact"/>
      </w:pPr>
      <w:r>
        <w:rPr>
          <w:rFonts w:ascii="Times New Roman" w:hAnsi="Times New Roman" w:eastAsia="宋体"/>
          <w:b w:val="0"/>
          <w:sz w:val="18"/>
        </w:rPr>
        <w:t>[5] Aerts D. Quantum structure in cognition[J]. Journal of Mathematical Psychology, 2009, 53(5): 314-348.</w:t>
      </w:r>
    </w:p>
    <w:p>
      <w:pPr>
        <w:spacing w:line="320" w:lineRule="exact"/>
      </w:pPr>
      <w:r>
        <w:rPr>
          <w:rFonts w:ascii="Times New Roman" w:hAnsi="Times New Roman" w:eastAsia="宋体"/>
          <w:b w:val="0"/>
          <w:sz w:val="18"/>
        </w:rPr>
        <w:t>[6] Busemeyer J R, Bruza P D. Quantum Models of Cognition and Decision[M]. Cambridge University Press, 2012.</w:t>
      </w:r>
    </w:p>
    <w:p>
      <w:pPr>
        <w:spacing w:line="320" w:lineRule="exact"/>
      </w:pPr>
      <w:r>
        <w:rPr>
          <w:rFonts w:ascii="Times New Roman" w:hAnsi="Times New Roman" w:eastAsia="宋体"/>
          <w:b w:val="0"/>
          <w:sz w:val="18"/>
        </w:rPr>
        <w:t>[7] Preskill J. Quantum Computing in the NISQ era and beyond[J]. Quantum, 2018, 2: 79.</w:t>
      </w:r>
    </w:p>
    <w:p>
      <w:pPr>
        <w:spacing w:line="320" w:lineRule="exact"/>
      </w:pPr>
      <w:r>
        <w:rPr>
          <w:rFonts w:ascii="Times New Roman" w:hAnsi="Times New Roman" w:eastAsia="宋体"/>
          <w:b w:val="0"/>
          <w:sz w:val="18"/>
        </w:rPr>
        <w:t>[8] Farhi E, Goldstone J, Gutmann S. A Quantum Approximate Optimization Algorithm[J]. arXiv:1411.4028, 2014.</w:t>
      </w:r>
    </w:p>
    <w:p>
      <w:pPr>
        <w:spacing w:line="320" w:lineRule="exact"/>
      </w:pPr>
      <w:r>
        <w:rPr>
          <w:rFonts w:ascii="Times New Roman" w:hAnsi="Times New Roman" w:eastAsia="宋体"/>
          <w:b w:val="0"/>
          <w:sz w:val="18"/>
        </w:rPr>
        <w:t>[9] Petoukhov S V. I-Ching, Dyadic Groups of Binary Numbers and the Geno-Logic Coding in Living Bodies[J]. Progress in Biophysics and Molecular Biology, 2017, 131: 354-368.</w:t>
      </w:r>
    </w:p>
    <w:p>
      <w:pPr>
        <w:spacing w:line="320" w:lineRule="exact"/>
      </w:pPr>
      <w:r>
        <w:rPr>
          <w:rFonts w:ascii="Times New Roman" w:hAnsi="Times New Roman" w:eastAsia="宋体"/>
          <w:b w:val="0"/>
          <w:sz w:val="18"/>
        </w:rPr>
        <w:t>[10] 朱伯崑. 易学哲学史[M]. 北京大学出版社, 2005.</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