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作为卦象匹配之后的质量评估与策略修正层——卦象决定"做什么"（策略类型），爻位关系决定"怎么做"（力修正与谨慎级别），两者互补构成完整的易理决策体系。</w:t>
      </w:r>
    </w:p>
    <w:p>
      <w:pPr>
        <w:ind w:firstLine="420"/>
      </w:pPr>
      <w:r>
        <w:rPr>
          <w:rFonts w:ascii="Times New Roman" w:hAnsi="Times New Roman" w:eastAsia="宋体"/>
          <w:sz w:val="22"/>
        </w:rPr>
        <w:t>在42/64卦规则库下，300物体的零样本基线测试中，系统达到90.0%的策略合理率和0%的严重错误率，纯先验推理仅需1.7ms/物体。从初始48.0%到90.0%的性能跃迁，其提升过程本身即为易理模型可解释性的生动验证——每一次模板调整都有明确的物理语义支撑，每一步性能改进都可精确追溯到具体的卦爻映射关系。小样本微调实验中，使用仅24个专家标注演示即可将策略合理率从17.0%显著提升至51.5%，展示了极强的数据效率优势。</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和SayCan。高层利用大语言/视觉模型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OpenVLA和Octo。这些模型展现出令人印象深刻的泛化能力，但需要数十万条真实机器人轨迹进行训练，决策过程是黑箱，且物理约束仅被隐式学习而非显式保证。</w:t>
      </w:r>
    </w:p>
    <w:p>
      <w:pPr>
        <w:ind w:firstLine="420"/>
      </w:pPr>
      <w:r>
        <w:rPr>
          <w:rFonts w:ascii="Times New Roman" w:hAnsi="Times New Roman" w:eastAsia="宋体"/>
          <w:sz w:val="22"/>
        </w:rPr>
        <w:t>两种范式的共同特征可以概括为数据暴力（Data Violence）：它们都依赖海量数据的统计拟合来逼近复杂的决策边界。这引出了一个根本性的学术追问：是否存在第三条道路——知识驱动而非数据驱动、可解释而非黑箱、仅需少量示范即可泛化的决策范式？</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w:t>
      </w:r>
    </w:p>
    <w:p>
      <w:pPr>
        <w:ind w:left="850"/>
      </w:pPr>
      <w:r>
        <w:rPr>
          <w:rFonts w:ascii="Times New Roman" w:hAnsi="Times New Roman" w:eastAsia="宋体"/>
          <w:sz w:val="22"/>
        </w:rPr>
        <w:t>• 结构化关系网络：定义了爻位间的"乘、承、比、应、当位、得中、中正"等关系，构成了符号推理的运算规则。</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情境模式分类：将万事万物映射到64种情境模式，本质是一种模式识别与分类系统。</w:t>
      </w:r>
    </w:p>
    <w:p>
      <w:pPr>
        <w:ind w:left="850"/>
      </w:pPr>
      <w:r>
        <w:rPr>
          <w:rFonts w:ascii="Times New Roman" w:hAnsi="Times New Roman" w:eastAsia="宋体"/>
          <w:sz w:val="22"/>
        </w:rPr>
        <w:t>• 嵌入价值判断：卦辞与爻辞包含"吉、凶、悔、吝、无咎"等价值判断和行为指南，天然适合作为决策参考。</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w:t>
      </w:r>
    </w:p>
    <w:p>
      <w:pPr>
        <w:ind w:left="850"/>
      </w:pPr>
      <w:r>
        <w:rPr>
          <w:rFonts w:ascii="Times New Roman" w:hAnsi="Times New Roman" w:eastAsia="宋体"/>
          <w:sz w:val="22"/>
        </w:rPr>
        <w:t>4. 爻位关系运算：首次将"乘承比应当位得中"五种爻位关系形式化为可计算算子。</w:t>
      </w:r>
    </w:p>
    <w:p>
      <w:pPr>
        <w:ind w:left="850"/>
      </w:pPr>
      <w:r>
        <w:rPr>
          <w:rFonts w:ascii="Times New Roman" w:hAnsi="Times New Roman" w:eastAsia="宋体"/>
          <w:sz w:val="22"/>
        </w:rPr>
        <w:t>5. 工程实现：约2200行Python代码库，42/64卦规则，300物体零样本基线（90.0%合理率）。</w:t>
      </w:r>
    </w:p>
    <w:p>
      <w:pPr>
        <w:ind w:left="850"/>
      </w:pPr>
      <w:r>
        <w:rPr>
          <w:rFonts w:ascii="Times New Roman" w:hAnsi="Times New Roman" w:eastAsia="宋体"/>
          <w:sz w:val="22"/>
        </w:rPr>
        <w:t>6. 实验验证：完成了零样本基线、小样本微调、三维消融实验、爻模板优化实验、爻位关系运算实验。</w:t>
      </w:r>
    </w:p>
    <w:p>
      <w:r>
        <w:br w:type="page"/>
      </w:r>
    </w:p>
    <w:p>
      <w:pPr>
        <w:pStyle w:val="Heading1"/>
      </w:pPr>
      <w:r>
        <w:rPr>
          <w:rFonts w:ascii="Times New Roman" w:hAnsi="Times New Roman" w:eastAsia="黑体"/>
          <w:sz w:val="40"/>
        </w:rPr>
        <w:t>2 系统架构</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提供强归纳偏置，而非从零学习模式。系统完整架构如图1所示。</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ind w:firstLine="420"/>
      </w:pPr>
      <w:r>
        <w:rPr>
          <w:rFonts w:ascii="Times New Roman" w:hAnsi="Times New Roman" w:eastAsia="宋体"/>
          <w:sz w:val="22"/>
        </w:rPr>
        <w:t>系统由六个功能层构成，数据自顶向下流动：</w:t>
      </w:r>
    </w:p>
    <w:p>
      <w:pPr>
        <w:ind w:left="850"/>
      </w:pPr>
      <w:r>
        <w:rPr>
          <w:rFonts w:ascii="Times New Roman" w:hAnsi="Times New Roman" w:eastAsia="宋体"/>
          <w:sz w:val="22"/>
        </w:rPr>
        <w:t>• 物理世界层：13维物理特征（稳定性、滚动倾向、力需求、脆弱性、可达性、遮挡程度等），所有值归一化至[0,1]。</w:t>
      </w:r>
    </w:p>
    <w:p>
      <w:pPr>
        <w:ind w:left="850"/>
      </w:pPr>
      <w:r>
        <w:rPr>
          <w:rFonts w:ascii="Times New Roman" w:hAnsi="Times New Roman" w:eastAsia="宋体"/>
          <w:sz w:val="22"/>
        </w:rPr>
        <w:t>• L1八卦基元：将连续特征通过高斯核相似度映射为8个卦象的连续隶属度向量，解决符号接地问题。</w:t>
      </w:r>
    </w:p>
    <w:p>
      <w:pPr>
        <w:ind w:left="850"/>
      </w:pPr>
      <w:r>
        <w:rPr>
          <w:rFonts w:ascii="Times New Roman" w:hAnsi="Times New Roman" w:eastAsia="宋体"/>
          <w:sz w:val="22"/>
        </w:rPr>
        <w:t>• L2六爻编码：通过6个预定义的加权公式，将13维特征聚合为6维爻值向量。</w:t>
      </w:r>
    </w:p>
    <w:p>
      <w:pPr>
        <w:ind w:left="850"/>
      </w:pPr>
      <w:r>
        <w:rPr>
          <w:rFonts w:ascii="Times New Roman" w:hAnsi="Times New Roman" w:eastAsia="宋体"/>
          <w:sz w:val="22"/>
        </w:rPr>
        <w:t>• L3卦象匹配：在42个已定义的卦象模板中通过余弦相似度搜索最佳匹配，决定策略类型（做什么）。</w:t>
      </w:r>
    </w:p>
    <w:p>
      <w:pPr>
        <w:ind w:left="850"/>
      </w:pPr>
      <w:r>
        <w:rPr>
          <w:rFonts w:ascii="Times New Roman" w:hAnsi="Times New Roman" w:eastAsia="宋体"/>
          <w:sz w:val="22"/>
        </w:rPr>
        <w:t>• L3+爻位关系运算：分析六爻之间的乘承比应当位得中关系，输出爻位质量评分和策略修正建议（怎么做）。</w:t>
      </w:r>
    </w:p>
    <w:p>
      <w:pPr>
        <w:ind w:left="850"/>
      </w:pPr>
      <w:r>
        <w:rPr>
          <w:rFonts w:ascii="Times New Roman" w:hAnsi="Times New Roman" w:eastAsia="宋体"/>
          <w:sz w:val="22"/>
        </w:rPr>
        <w:t>• 决策层：整合卦象的策略预设和爻位关系的参数修正，输出完整的可解释推理链。</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如何将物理世界中的连续量（如稳定性=0.8）映射到离散符号（如"稳定"=True/False）？常见的做法是设定阈值（如稳定性&gt;0.5为稳定），但这引入信息丢失和人为偏差。YLYW的解决方案是保留物理特征的连续值，通过模糊隶属度实现"符号接地"——一个物体不是"属于或不属于"某个卦，而是以不同程度的隶属度同时关联多个卦象，这与物理世界的模糊性本质一致。</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如乾"健"→高稳定性/高力需求，坤"顺"→低力需求/高变形性），是系统的核心先验知识。</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p，隶属度计算采用高斯核函数。对于每个共享的物理属性维度a：μ(f, p) = (1/|A|) Σ_a max(0, 1 − |f_a − p_a| × λ)，其中 λ=1.5 为敏感度参数，|A|为共享属性个数。这种方法使得一个物体可以同时"属于"多个卦象——例如球体既"似震"（动，因滚动倾向高）又"似离"（明，因可见性高），体现了物理世界的模糊性本质。与传统符号系统的关键区别在于：YLYW在连续空间直接推理，无需先将物理量二值化。</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w:t>
      </w:r>
    </w:p>
    <w:p>
      <w:pPr>
        <w:jc w:val="center"/>
      </w:pPr>
      <w:r>
        <w:rPr>
          <w:rFonts w:ascii="Times New Roman" w:hAnsi="Times New Roman" w:eastAsia="黑体"/>
          <w:b/>
          <w:sz w:val="18"/>
        </w:rPr>
        <w:t>表2. 六爻编码映射与公式</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爻值范围</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0.4·stability + 0.3·(1−roll) + 0.3·support</w:t>
            </w:r>
          </w:p>
        </w:tc>
        <w:tc>
          <w:tcPr>
            <w:tcW w:type="dxa" w:w="1872"/>
            <w:shd w:fill="EBF5FB"/>
          </w:tcPr>
          <w:p>
            <w:pPr>
              <w:jc w:val="center"/>
            </w:pPr>
            <w:r/>
            <w:r>
              <w:rPr>
                <w:rFonts w:ascii="Times New Roman" w:hAnsi="Times New Roman" w:eastAsia="宋体"/>
                <w:sz w:val="16"/>
              </w:rPr>
              <w:t>[0,1]</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0.5·reachability + 0.3·(1−occlusion) + 0.2·grasp_q</w:t>
            </w:r>
          </w:p>
        </w:tc>
        <w:tc>
          <w:tcPr>
            <w:tcW w:type="dxa" w:w="1872"/>
          </w:tcPr>
          <w:p>
            <w:pPr>
              <w:jc w:val="center"/>
            </w:pPr>
            <w:r/>
            <w:r>
              <w:rPr>
                <w:rFonts w:ascii="Times New Roman" w:hAnsi="Times New Roman" w:eastAsia="宋体"/>
                <w:sz w:val="16"/>
              </w:rPr>
              <w:t>[0,1]</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0.6·strength + 0.4·weight_ratio</w:t>
            </w:r>
          </w:p>
        </w:tc>
        <w:tc>
          <w:tcPr>
            <w:tcW w:type="dxa" w:w="1872"/>
            <w:shd w:fill="EBF5FB"/>
          </w:tcPr>
          <w:p>
            <w:pPr>
              <w:jc w:val="center"/>
            </w:pPr>
            <w:r/>
            <w:r>
              <w:rPr>
                <w:rFonts w:ascii="Times New Roman" w:hAnsi="Times New Roman" w:eastAsia="宋体"/>
                <w:sz w:val="16"/>
              </w:rPr>
              <w:t>[0,1]</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fragility</w:t>
            </w:r>
          </w:p>
        </w:tc>
        <w:tc>
          <w:tcPr>
            <w:tcW w:type="dxa" w:w="1872"/>
          </w:tcPr>
          <w:p>
            <w:pPr>
              <w:jc w:val="center"/>
            </w:pPr>
            <w:r/>
            <w:r>
              <w:rPr>
                <w:rFonts w:ascii="Times New Roman" w:hAnsi="Times New Roman" w:eastAsia="宋体"/>
                <w:sz w:val="16"/>
              </w:rPr>
              <w:t>[0,1]</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task_priority</w:t>
            </w:r>
          </w:p>
        </w:tc>
        <w:tc>
          <w:tcPr>
            <w:tcW w:type="dxa" w:w="1872"/>
            <w:shd w:fill="EBF5FB"/>
          </w:tcPr>
          <w:p>
            <w:pPr>
              <w:jc w:val="center"/>
            </w:pPr>
            <w:r/>
            <w:r>
              <w:rPr>
                <w:rFonts w:ascii="Times New Roman" w:hAnsi="Times New Roman" w:eastAsia="宋体"/>
                <w:sz w:val="16"/>
              </w:rPr>
              <w:t>[0,1]</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obstacle_density×1.5)</w:t>
            </w:r>
          </w:p>
        </w:tc>
        <w:tc>
          <w:tcPr>
            <w:tcW w:type="dxa" w:w="1872"/>
          </w:tcPr>
          <w:p>
            <w:pPr>
              <w:jc w:val="center"/>
            </w:pPr>
            <w:r/>
            <w:r>
              <w:rPr>
                <w:rFonts w:ascii="Times New Roman" w:hAnsi="Times New Roman" w:eastAsia="宋体"/>
                <w:sz w:val="16"/>
              </w:rPr>
              <w:t>[0,1]</w:t>
            </w:r>
          </w:p>
        </w:tc>
      </w:tr>
    </w:tbl>
    <w:p/>
    <w:p>
      <w:pPr>
        <w:ind w:firstLine="420"/>
      </w:pPr>
      <w:r>
        <w:rPr>
          <w:rFonts w:ascii="Times New Roman" w:hAnsi="Times New Roman" w:eastAsia="宋体"/>
          <w:sz w:val="22"/>
        </w:rPr>
        <w:t>六爻编码的关键设计选择在于：每个爻值携带明确的物理语义。例如初爻为阴（&lt;0.5）的含义是"基础不稳，易倾倒"，四爻为阴的含义是"物体脆弱，需轻拿轻放"。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接近角度、速度和注意事项等字段。策略的设计遵循"卦名→策略语义、卦辞→核心原则、爻位关系→参数设定"的工程转译原则。例如，乾卦的卦名为"健"，卦辞为"刚健中正"，因此映射为强力抓取策略（power_grasp，力预设0.85）；履卦的卦辞为"履虎尾不咥人"，因此映射为极度谨慎的抓取策略（cautious_grasp，力预设0.35）。</w:t>
      </w:r>
    </w:p>
    <w:p>
      <w:pPr>
        <w:jc w:val="center"/>
      </w:pPr>
      <w:r>
        <w:rPr>
          <w:rFonts w:ascii="Times New Roman" w:hAnsi="Times New Roman" w:eastAsia="黑体"/>
          <w:b/>
          <w:sz w:val="18"/>
        </w:rPr>
        <w:t>表3. 核心卦象-策略映射（节选10/42卦）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适用物体</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如履薄冰，小心翼翼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事未成也，谨慎观望</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条件不确定场景</w:t>
            </w:r>
          </w:p>
        </w:tc>
      </w:tr>
    </w:tbl>
    <w:p/>
    <w:p>
      <w:pPr>
        <w:ind w:firstLine="420"/>
      </w:pPr>
      <w:r>
        <w:rPr>
          <w:rFonts w:ascii="Times New Roman" w:hAnsi="Times New Roman" w:eastAsia="宋体"/>
          <w:sz w:val="22"/>
        </w:rPr>
        <w:t>当前42卦的规则库覆盖了39种不同策略类型，包括强力抓取（power_grasp）、精确抓取（precision_grasp）、动态抓取（dynamic_grasp）、谨慎抓取（cautious_grasp）、跟随抓取（following_grasp）、异形适配抓取（adaptive_irregular_grasp）等。每种策略类型都有专门的卦象支撑，而非临时生成。</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[0,1]⁶，通过余弦相似度在所有已定义卦象的理想爻模板中搜索最佳匹配：sim(y, t_g) = (y · t_g) / (‖y‖ ‖t_g‖)。选择相似度最高的卦象，输出关联策略。同时保留Top-3卦象作为"变卦"参考，供后续动态决策使用。</w:t>
      </w:r>
    </w:p>
    <w:p>
      <w:pPr>
        <w:ind w:firstLine="420"/>
      </w:pPr>
      <w:r>
        <w:rPr>
          <w:rFonts w:ascii="Times New Roman" w:hAnsi="Times New Roman" w:eastAsia="宋体"/>
          <w:sz w:val="22"/>
        </w:rPr>
        <w:t>爻模板设计的独特之处在于：理想爻模板不是简单的二值向量（阴阳→1/0），而是考虑了爻位在工程语境中的重要性。例如乾卦（☰☰）模板为[0.95, 0.90, 0.85, 0.85, 1.00, 0.90]，其中九五爻（第五位）权重最高——这与《周易》"九五，飞龙在天"所表达的该爻位核心地位一致。</w:t>
      </w:r>
    </w:p>
    <w:p>
      <w:pPr>
        <w:pStyle w:val="Heading3"/>
      </w:pPr>
      <w:r>
        <w:rPr>
          <w:rFonts w:ascii="Times New Roman" w:hAnsi="Times New Roman" w:eastAsia="黑体"/>
          <w:sz w:val="24"/>
        </w:rPr>
        <w:t>2.4.3 与通用谓词逻辑的本质区别</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本节提出一种基于物体质心的爻模板优化方法，其核心思想是：让每个卦的爻模板在六维爻空间中"锚定"到它应该服务的物体类型质心附近。</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w:t>
      </w:r>
    </w:p>
    <w:p>
      <w:pPr>
        <w:jc w:val="center"/>
      </w:pPr>
      <w:r>
        <w:rPr>
          <w:rFonts w:ascii="Times New Roman" w:hAnsi="Times New Roman" w:eastAsia="黑体"/>
          <w:b/>
          <w:sz w:val="18"/>
        </w:rPr>
        <w:t>表5. 八类物体的六爻向量质心</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物体</w:t>
            </w:r>
          </w:p>
        </w:tc>
        <w:tc>
          <w:tcPr>
            <w:tcW w:type="dxa" w:w="1337"/>
            <w:shd w:fill="1A5276"/>
          </w:tcPr>
          <w:p>
            <w:pPr>
              <w:jc w:val="center"/>
            </w:pPr>
            <w:r/>
            <w:r>
              <w:rPr>
                <w:rFonts w:ascii="Times New Roman" w:hAnsi="Times New Roman" w:eastAsia="黑体"/>
                <w:b/>
                <w:color w:val="FFFFFF"/>
                <w:sz w:val="16"/>
              </w:rPr>
              <w:t>初爻(稳)</w:t>
            </w:r>
          </w:p>
        </w:tc>
        <w:tc>
          <w:tcPr>
            <w:tcW w:type="dxa" w:w="1337"/>
            <w:shd w:fill="1A5276"/>
          </w:tcPr>
          <w:p>
            <w:pPr>
              <w:jc w:val="center"/>
            </w:pPr>
            <w:r/>
            <w:r>
              <w:rPr>
                <w:rFonts w:ascii="Times New Roman" w:hAnsi="Times New Roman" w:eastAsia="黑体"/>
                <w:b/>
                <w:color w:val="FFFFFF"/>
                <w:sz w:val="16"/>
              </w:rPr>
              <w:t>二爻(达)</w:t>
            </w:r>
          </w:p>
        </w:tc>
        <w:tc>
          <w:tcPr>
            <w:tcW w:type="dxa" w:w="1337"/>
            <w:shd w:fill="1A5276"/>
          </w:tcPr>
          <w:p>
            <w:pPr>
              <w:jc w:val="center"/>
            </w:pPr>
            <w:r/>
            <w:r>
              <w:rPr>
                <w:rFonts w:ascii="Times New Roman" w:hAnsi="Times New Roman" w:eastAsia="黑体"/>
                <w:b/>
                <w:color w:val="FFFFFF"/>
                <w:sz w:val="16"/>
              </w:rPr>
              <w:t>三爻(力)</w:t>
            </w:r>
          </w:p>
        </w:tc>
        <w:tc>
          <w:tcPr>
            <w:tcW w:type="dxa" w:w="1337"/>
            <w:shd w:fill="1A5276"/>
          </w:tcPr>
          <w:p>
            <w:pPr>
              <w:jc w:val="center"/>
            </w:pPr>
            <w:r/>
            <w:r>
              <w:rPr>
                <w:rFonts w:ascii="Times New Roman" w:hAnsi="Times New Roman" w:eastAsia="黑体"/>
                <w:b/>
                <w:color w:val="FFFFFF"/>
                <w:sz w:val="16"/>
              </w:rPr>
              <w:t>四爻(脆)</w:t>
            </w:r>
          </w:p>
        </w:tc>
        <w:tc>
          <w:tcPr>
            <w:tcW w:type="dxa" w:w="1337"/>
            <w:shd w:fill="1A5276"/>
          </w:tcPr>
          <w:p>
            <w:pPr>
              <w:jc w:val="center"/>
            </w:pPr>
            <w:r/>
            <w:r>
              <w:rPr>
                <w:rFonts w:ascii="Times New Roman" w:hAnsi="Times New Roman" w:eastAsia="黑体"/>
                <w:b/>
                <w:color w:val="FFFFFF"/>
                <w:sz w:val="16"/>
              </w:rPr>
              <w:t>五爻(优)</w:t>
            </w:r>
          </w:p>
        </w:tc>
        <w:tc>
          <w:tcPr>
            <w:tcW w:type="dxa" w:w="1337"/>
            <w:shd w:fill="1A5276"/>
          </w:tcPr>
          <w:p>
            <w:pPr>
              <w:jc w:val="center"/>
            </w:pPr>
            <w:r/>
            <w:r>
              <w:rPr>
                <w:rFonts w:ascii="Times New Roman" w:hAnsi="Times New Roman" w:eastAsia="黑体"/>
                <w:b/>
                <w:color w:val="FFFFFF"/>
                <w:sz w:val="16"/>
              </w:rPr>
              <w:t>上爻(环)</w:t>
            </w:r>
          </w:p>
        </w:tc>
      </w:tr>
      <w:tr>
        <w:tc>
          <w:tcPr>
            <w:tcW w:type="dxa" w:w="1337"/>
            <w:shd w:fill="EBF5FB"/>
          </w:tcPr>
          <w:p>
            <w:pPr>
              <w:jc w:val="center"/>
            </w:pPr>
            <w:r/>
            <w:r>
              <w:rPr>
                <w:rFonts w:ascii="Times New Roman" w:hAnsi="Times New Roman" w:eastAsia="宋体"/>
                <w:sz w:val="16"/>
              </w:rPr>
              <w:t>球体</w:t>
            </w:r>
          </w:p>
        </w:tc>
        <w:tc>
          <w:tcPr>
            <w:tcW w:type="dxa" w:w="1337"/>
            <w:shd w:fill="EBF5FB"/>
          </w:tcPr>
          <w:p>
            <w:pPr>
              <w:jc w:val="center"/>
            </w:pPr>
            <w:r/>
            <w:r>
              <w:rPr>
                <w:rFonts w:ascii="Times New Roman" w:hAnsi="Times New Roman" w:eastAsia="宋体"/>
                <w:sz w:val="16"/>
              </w:rPr>
              <w:t>0.087</w:t>
            </w:r>
          </w:p>
        </w:tc>
        <w:tc>
          <w:tcPr>
            <w:tcW w:type="dxa" w:w="1337"/>
            <w:shd w:fill="EBF5FB"/>
          </w:tcPr>
          <w:p>
            <w:pPr>
              <w:jc w:val="center"/>
            </w:pPr>
            <w:r/>
            <w:r>
              <w:rPr>
                <w:rFonts w:ascii="Times New Roman" w:hAnsi="Times New Roman" w:eastAsia="宋体"/>
                <w:sz w:val="16"/>
              </w:rPr>
              <w:t>0.620</w:t>
            </w:r>
          </w:p>
        </w:tc>
        <w:tc>
          <w:tcPr>
            <w:tcW w:type="dxa" w:w="1337"/>
            <w:shd w:fill="EBF5FB"/>
          </w:tcPr>
          <w:p>
            <w:pPr>
              <w:jc w:val="center"/>
            </w:pPr>
            <w:r/>
            <w:r>
              <w:rPr>
                <w:rFonts w:ascii="Times New Roman" w:hAnsi="Times New Roman" w:eastAsia="宋体"/>
                <w:sz w:val="16"/>
              </w:rPr>
              <w:t>0.340</w:t>
            </w:r>
          </w:p>
        </w:tc>
        <w:tc>
          <w:tcPr>
            <w:tcW w:type="dxa" w:w="1337"/>
            <w:shd w:fill="EBF5FB"/>
          </w:tcPr>
          <w:p>
            <w:pPr>
              <w:jc w:val="center"/>
            </w:pPr>
            <w:r/>
            <w:r>
              <w:rPr>
                <w:rFonts w:ascii="Times New Roman" w:hAnsi="Times New Roman" w:eastAsia="宋体"/>
                <w:sz w:val="16"/>
              </w:rPr>
              <w:t>0.728</w:t>
            </w:r>
          </w:p>
        </w:tc>
        <w:tc>
          <w:tcPr>
            <w:tcW w:type="dxa" w:w="1337"/>
            <w:shd w:fill="EBF5FB"/>
          </w:tcPr>
          <w:p>
            <w:pPr>
              <w:jc w:val="center"/>
            </w:pPr>
            <w:r/>
            <w:r>
              <w:rPr>
                <w:rFonts w:ascii="Times New Roman" w:hAnsi="Times New Roman" w:eastAsia="宋体"/>
                <w:sz w:val="16"/>
              </w:rPr>
              <w:t>0.480</w:t>
            </w:r>
          </w:p>
        </w:tc>
        <w:tc>
          <w:tcPr>
            <w:tcW w:type="dxa" w:w="1337"/>
            <w:shd w:fill="EBF5FB"/>
          </w:tcPr>
          <w:p>
            <w:pPr>
              <w:jc w:val="center"/>
            </w:pPr>
            <w:r/>
            <w:r>
              <w:rPr>
                <w:rFonts w:ascii="Times New Roman" w:hAnsi="Times New Roman" w:eastAsia="宋体"/>
                <w:sz w:val="16"/>
              </w:rPr>
              <w:t>0.656</w:t>
            </w:r>
          </w:p>
        </w:tc>
      </w:tr>
      <w:tr>
        <w:tc>
          <w:tcPr>
            <w:tcW w:type="dxa" w:w="1337"/>
          </w:tcPr>
          <w:p>
            <w:pPr>
              <w:jc w:val="center"/>
            </w:pPr>
            <w:r/>
            <w:r>
              <w:rPr>
                <w:rFonts w:ascii="Times New Roman" w:hAnsi="Times New Roman" w:eastAsia="宋体"/>
                <w:sz w:val="16"/>
              </w:rPr>
              <w:t>立方体</w:t>
            </w:r>
          </w:p>
        </w:tc>
        <w:tc>
          <w:tcPr>
            <w:tcW w:type="dxa" w:w="1337"/>
          </w:tcPr>
          <w:p>
            <w:pPr>
              <w:jc w:val="center"/>
            </w:pPr>
            <w:r/>
            <w:r>
              <w:rPr>
                <w:rFonts w:ascii="Times New Roman" w:hAnsi="Times New Roman" w:eastAsia="宋体"/>
                <w:sz w:val="16"/>
              </w:rPr>
              <w:t>0.753</w:t>
            </w:r>
          </w:p>
        </w:tc>
        <w:tc>
          <w:tcPr>
            <w:tcW w:type="dxa" w:w="1337"/>
          </w:tcPr>
          <w:p>
            <w:pPr>
              <w:jc w:val="center"/>
            </w:pPr>
            <w:r/>
            <w:r>
              <w:rPr>
                <w:rFonts w:ascii="Times New Roman" w:hAnsi="Times New Roman" w:eastAsia="宋体"/>
                <w:sz w:val="16"/>
              </w:rPr>
              <w:t>0.588</w:t>
            </w:r>
          </w:p>
        </w:tc>
        <w:tc>
          <w:tcPr>
            <w:tcW w:type="dxa" w:w="1337"/>
          </w:tcPr>
          <w:p>
            <w:pPr>
              <w:jc w:val="center"/>
            </w:pPr>
            <w:r/>
            <w:r>
              <w:rPr>
                <w:rFonts w:ascii="Times New Roman" w:hAnsi="Times New Roman" w:eastAsia="宋体"/>
                <w:sz w:val="16"/>
              </w:rPr>
              <w:t>0.594</w:t>
            </w:r>
          </w:p>
        </w:tc>
        <w:tc>
          <w:tcPr>
            <w:tcW w:type="dxa" w:w="1337"/>
          </w:tcPr>
          <w:p>
            <w:pPr>
              <w:jc w:val="center"/>
            </w:pPr>
            <w:r/>
            <w:r>
              <w:rPr>
                <w:rFonts w:ascii="Times New Roman" w:hAnsi="Times New Roman" w:eastAsia="宋体"/>
                <w:sz w:val="16"/>
              </w:rPr>
              <w:t>0.755</w:t>
            </w:r>
          </w:p>
        </w:tc>
        <w:tc>
          <w:tcPr>
            <w:tcW w:type="dxa" w:w="1337"/>
          </w:tcPr>
          <w:p>
            <w:pPr>
              <w:jc w:val="center"/>
            </w:pPr>
            <w:r/>
            <w:r>
              <w:rPr>
                <w:rFonts w:ascii="Times New Roman" w:hAnsi="Times New Roman" w:eastAsia="宋体"/>
                <w:sz w:val="16"/>
              </w:rPr>
              <w:t>0.435</w:t>
            </w:r>
          </w:p>
        </w:tc>
        <w:tc>
          <w:tcPr>
            <w:tcW w:type="dxa" w:w="1337"/>
          </w:tcPr>
          <w:p>
            <w:pPr>
              <w:jc w:val="center"/>
            </w:pPr>
            <w:r/>
            <w:r>
              <w:rPr>
                <w:rFonts w:ascii="Times New Roman" w:hAnsi="Times New Roman" w:eastAsia="宋体"/>
                <w:sz w:val="16"/>
              </w:rPr>
              <w:t>0.657</w:t>
            </w:r>
          </w:p>
        </w:tc>
      </w:tr>
      <w:tr>
        <w:tc>
          <w:tcPr>
            <w:tcW w:type="dxa" w:w="1337"/>
            <w:shd w:fill="EBF5FB"/>
          </w:tcPr>
          <w:p>
            <w:pPr>
              <w:jc w:val="center"/>
            </w:pPr>
            <w:r/>
            <w:r>
              <w:rPr>
                <w:rFonts w:ascii="Times New Roman" w:hAnsi="Times New Roman" w:eastAsia="宋体"/>
                <w:sz w:val="16"/>
              </w:rPr>
              <w:t>圆柱体</w:t>
            </w:r>
          </w:p>
        </w:tc>
        <w:tc>
          <w:tcPr>
            <w:tcW w:type="dxa" w:w="1337"/>
            <w:shd w:fill="EBF5FB"/>
          </w:tcPr>
          <w:p>
            <w:pPr>
              <w:jc w:val="center"/>
            </w:pPr>
            <w:r/>
            <w:r>
              <w:rPr>
                <w:rFonts w:ascii="Times New Roman" w:hAnsi="Times New Roman" w:eastAsia="宋体"/>
                <w:sz w:val="16"/>
              </w:rPr>
              <w:t>0.365</w:t>
            </w:r>
          </w:p>
        </w:tc>
        <w:tc>
          <w:tcPr>
            <w:tcW w:type="dxa" w:w="1337"/>
            <w:shd w:fill="EBF5FB"/>
          </w:tcPr>
          <w:p>
            <w:pPr>
              <w:jc w:val="center"/>
            </w:pPr>
            <w:r/>
            <w:r>
              <w:rPr>
                <w:rFonts w:ascii="Times New Roman" w:hAnsi="Times New Roman" w:eastAsia="宋体"/>
                <w:sz w:val="16"/>
              </w:rPr>
              <w:t>0.593</w:t>
            </w:r>
          </w:p>
        </w:tc>
        <w:tc>
          <w:tcPr>
            <w:tcW w:type="dxa" w:w="1337"/>
            <w:shd w:fill="EBF5FB"/>
          </w:tcPr>
          <w:p>
            <w:pPr>
              <w:jc w:val="center"/>
            </w:pPr>
            <w:r/>
            <w:r>
              <w:rPr>
                <w:rFonts w:ascii="Times New Roman" w:hAnsi="Times New Roman" w:eastAsia="宋体"/>
                <w:sz w:val="16"/>
              </w:rPr>
              <w:t>0.479</w:t>
            </w:r>
          </w:p>
        </w:tc>
        <w:tc>
          <w:tcPr>
            <w:tcW w:type="dxa" w:w="1337"/>
            <w:shd w:fill="EBF5FB"/>
          </w:tcPr>
          <w:p>
            <w:pPr>
              <w:jc w:val="center"/>
            </w:pPr>
            <w:r/>
            <w:r>
              <w:rPr>
                <w:rFonts w:ascii="Times New Roman" w:hAnsi="Times New Roman" w:eastAsia="宋体"/>
                <w:sz w:val="16"/>
              </w:rPr>
              <w:t>0.654</w:t>
            </w:r>
          </w:p>
        </w:tc>
        <w:tc>
          <w:tcPr>
            <w:tcW w:type="dxa" w:w="1337"/>
            <w:shd w:fill="EBF5FB"/>
          </w:tcPr>
          <w:p>
            <w:pPr>
              <w:jc w:val="center"/>
            </w:pPr>
            <w:r/>
            <w:r>
              <w:rPr>
                <w:rFonts w:ascii="Times New Roman" w:hAnsi="Times New Roman" w:eastAsia="宋体"/>
                <w:sz w:val="16"/>
              </w:rPr>
              <w:t>0.480</w:t>
            </w:r>
          </w:p>
        </w:tc>
        <w:tc>
          <w:tcPr>
            <w:tcW w:type="dxa" w:w="1337"/>
            <w:shd w:fill="EBF5FB"/>
          </w:tcPr>
          <w:p>
            <w:pPr>
              <w:jc w:val="center"/>
            </w:pPr>
            <w:r/>
            <w:r>
              <w:rPr>
                <w:rFonts w:ascii="Times New Roman" w:hAnsi="Times New Roman" w:eastAsia="宋体"/>
                <w:sz w:val="16"/>
              </w:rPr>
              <w:t>0.787</w:t>
            </w:r>
          </w:p>
        </w:tc>
      </w:tr>
      <w:tr>
        <w:tc>
          <w:tcPr>
            <w:tcW w:type="dxa" w:w="1337"/>
          </w:tcPr>
          <w:p>
            <w:pPr>
              <w:jc w:val="center"/>
            </w:pPr>
            <w:r/>
            <w:r>
              <w:rPr>
                <w:rFonts w:ascii="Times New Roman" w:hAnsi="Times New Roman" w:eastAsia="宋体"/>
                <w:sz w:val="16"/>
              </w:rPr>
              <w:t>碗</w:t>
            </w:r>
          </w:p>
        </w:tc>
        <w:tc>
          <w:tcPr>
            <w:tcW w:type="dxa" w:w="1337"/>
          </w:tcPr>
          <w:p>
            <w:pPr>
              <w:jc w:val="center"/>
            </w:pPr>
            <w:r/>
            <w:r>
              <w:rPr>
                <w:rFonts w:ascii="Times New Roman" w:hAnsi="Times New Roman" w:eastAsia="宋体"/>
                <w:sz w:val="16"/>
              </w:rPr>
              <w:t>0.440</w:t>
            </w:r>
          </w:p>
        </w:tc>
        <w:tc>
          <w:tcPr>
            <w:tcW w:type="dxa" w:w="1337"/>
          </w:tcPr>
          <w:p>
            <w:pPr>
              <w:jc w:val="center"/>
            </w:pPr>
            <w:r/>
            <w:r>
              <w:rPr>
                <w:rFonts w:ascii="Times New Roman" w:hAnsi="Times New Roman" w:eastAsia="宋体"/>
                <w:sz w:val="16"/>
              </w:rPr>
              <w:t>0.637</w:t>
            </w:r>
          </w:p>
        </w:tc>
        <w:tc>
          <w:tcPr>
            <w:tcW w:type="dxa" w:w="1337"/>
          </w:tcPr>
          <w:p>
            <w:pPr>
              <w:jc w:val="center"/>
            </w:pPr>
            <w:r/>
            <w:r>
              <w:rPr>
                <w:rFonts w:ascii="Times New Roman" w:hAnsi="Times New Roman" w:eastAsia="宋体"/>
                <w:sz w:val="16"/>
              </w:rPr>
              <w:t>0.251</w:t>
            </w:r>
          </w:p>
        </w:tc>
        <w:tc>
          <w:tcPr>
            <w:tcW w:type="dxa" w:w="1337"/>
          </w:tcPr>
          <w:p>
            <w:pPr>
              <w:jc w:val="center"/>
            </w:pPr>
            <w:r/>
            <w:r>
              <w:rPr>
                <w:rFonts w:ascii="Times New Roman" w:hAnsi="Times New Roman" w:eastAsia="宋体"/>
                <w:sz w:val="16"/>
              </w:rPr>
              <w:t>0.382</w:t>
            </w:r>
          </w:p>
        </w:tc>
        <w:tc>
          <w:tcPr>
            <w:tcW w:type="dxa" w:w="1337"/>
          </w:tcPr>
          <w:p>
            <w:pPr>
              <w:jc w:val="center"/>
            </w:pPr>
            <w:r/>
            <w:r>
              <w:rPr>
                <w:rFonts w:ascii="Times New Roman" w:hAnsi="Times New Roman" w:eastAsia="宋体"/>
                <w:sz w:val="16"/>
              </w:rPr>
              <w:t>0.348</w:t>
            </w:r>
          </w:p>
        </w:tc>
        <w:tc>
          <w:tcPr>
            <w:tcW w:type="dxa" w:w="1337"/>
          </w:tcPr>
          <w:p>
            <w:pPr>
              <w:jc w:val="center"/>
            </w:pPr>
            <w:r/>
            <w:r>
              <w:rPr>
                <w:rFonts w:ascii="Times New Roman" w:hAnsi="Times New Roman" w:eastAsia="宋体"/>
                <w:sz w:val="16"/>
              </w:rPr>
              <w:t>0.625</w:t>
            </w:r>
          </w:p>
        </w:tc>
      </w:tr>
      <w:tr>
        <w:tc>
          <w:tcPr>
            <w:tcW w:type="dxa" w:w="1337"/>
            <w:shd w:fill="EBF5FB"/>
          </w:tcPr>
          <w:p>
            <w:pPr>
              <w:jc w:val="center"/>
            </w:pPr>
            <w:r/>
            <w:r>
              <w:rPr>
                <w:rFonts w:ascii="Times New Roman" w:hAnsi="Times New Roman" w:eastAsia="宋体"/>
                <w:sz w:val="16"/>
              </w:rPr>
              <w:t>瓶子</w:t>
            </w:r>
          </w:p>
        </w:tc>
        <w:tc>
          <w:tcPr>
            <w:tcW w:type="dxa" w:w="1337"/>
            <w:shd w:fill="EBF5FB"/>
          </w:tcPr>
          <w:p>
            <w:pPr>
              <w:jc w:val="center"/>
            </w:pPr>
            <w:r/>
            <w:r>
              <w:rPr>
                <w:rFonts w:ascii="Times New Roman" w:hAnsi="Times New Roman" w:eastAsia="宋体"/>
                <w:sz w:val="16"/>
              </w:rPr>
              <w:t>0.258</w:t>
            </w:r>
          </w:p>
        </w:tc>
        <w:tc>
          <w:tcPr>
            <w:tcW w:type="dxa" w:w="1337"/>
            <w:shd w:fill="EBF5FB"/>
          </w:tcPr>
          <w:p>
            <w:pPr>
              <w:jc w:val="center"/>
            </w:pPr>
            <w:r/>
            <w:r>
              <w:rPr>
                <w:rFonts w:ascii="Times New Roman" w:hAnsi="Times New Roman" w:eastAsia="宋体"/>
                <w:sz w:val="16"/>
              </w:rPr>
              <w:t>0.575</w:t>
            </w:r>
          </w:p>
        </w:tc>
        <w:tc>
          <w:tcPr>
            <w:tcW w:type="dxa" w:w="1337"/>
            <w:shd w:fill="EBF5FB"/>
          </w:tcPr>
          <w:p>
            <w:pPr>
              <w:jc w:val="center"/>
            </w:pPr>
            <w:r/>
            <w:r>
              <w:rPr>
                <w:rFonts w:ascii="Times New Roman" w:hAnsi="Times New Roman" w:eastAsia="宋体"/>
                <w:sz w:val="16"/>
              </w:rPr>
              <w:t>0.329</w:t>
            </w:r>
          </w:p>
        </w:tc>
        <w:tc>
          <w:tcPr>
            <w:tcW w:type="dxa" w:w="1337"/>
            <w:shd w:fill="EBF5FB"/>
          </w:tcPr>
          <w:p>
            <w:pPr>
              <w:jc w:val="center"/>
            </w:pPr>
            <w:r/>
            <w:r>
              <w:rPr>
                <w:rFonts w:ascii="Times New Roman" w:hAnsi="Times New Roman" w:eastAsia="宋体"/>
                <w:sz w:val="16"/>
              </w:rPr>
              <w:t>0.350</w:t>
            </w:r>
          </w:p>
        </w:tc>
        <w:tc>
          <w:tcPr>
            <w:tcW w:type="dxa" w:w="1337"/>
            <w:shd w:fill="EBF5FB"/>
          </w:tcPr>
          <w:p>
            <w:pPr>
              <w:jc w:val="center"/>
            </w:pPr>
            <w:r/>
            <w:r>
              <w:rPr>
                <w:rFonts w:ascii="Times New Roman" w:hAnsi="Times New Roman" w:eastAsia="宋体"/>
                <w:sz w:val="16"/>
              </w:rPr>
              <w:t>0.336</w:t>
            </w:r>
          </w:p>
        </w:tc>
        <w:tc>
          <w:tcPr>
            <w:tcW w:type="dxa" w:w="1337"/>
            <w:shd w:fill="EBF5FB"/>
          </w:tcPr>
          <w:p>
            <w:pPr>
              <w:jc w:val="center"/>
            </w:pPr>
            <w:r/>
            <w:r>
              <w:rPr>
                <w:rFonts w:ascii="Times New Roman" w:hAnsi="Times New Roman" w:eastAsia="宋体"/>
                <w:sz w:val="16"/>
              </w:rPr>
              <w:t>0.491</w:t>
            </w:r>
          </w:p>
        </w:tc>
      </w:tr>
      <w:tr>
        <w:tc>
          <w:tcPr>
            <w:tcW w:type="dxa" w:w="1337"/>
          </w:tcPr>
          <w:p>
            <w:pPr>
              <w:jc w:val="center"/>
            </w:pPr>
            <w:r/>
            <w:r>
              <w:rPr>
                <w:rFonts w:ascii="Times New Roman" w:hAnsi="Times New Roman" w:eastAsia="宋体"/>
                <w:sz w:val="16"/>
              </w:rPr>
              <w:t>盘子</w:t>
            </w:r>
          </w:p>
        </w:tc>
        <w:tc>
          <w:tcPr>
            <w:tcW w:type="dxa" w:w="1337"/>
          </w:tcPr>
          <w:p>
            <w:pPr>
              <w:jc w:val="center"/>
            </w:pPr>
            <w:r/>
            <w:r>
              <w:rPr>
                <w:rFonts w:ascii="Times New Roman" w:hAnsi="Times New Roman" w:eastAsia="宋体"/>
                <w:sz w:val="16"/>
              </w:rPr>
              <w:t>0.764</w:t>
            </w:r>
          </w:p>
        </w:tc>
        <w:tc>
          <w:tcPr>
            <w:tcW w:type="dxa" w:w="1337"/>
          </w:tcPr>
          <w:p>
            <w:pPr>
              <w:jc w:val="center"/>
            </w:pPr>
            <w:r/>
            <w:r>
              <w:rPr>
                <w:rFonts w:ascii="Times New Roman" w:hAnsi="Times New Roman" w:eastAsia="宋体"/>
                <w:sz w:val="16"/>
              </w:rPr>
              <w:t>0.544</w:t>
            </w:r>
          </w:p>
        </w:tc>
        <w:tc>
          <w:tcPr>
            <w:tcW w:type="dxa" w:w="1337"/>
          </w:tcPr>
          <w:p>
            <w:pPr>
              <w:jc w:val="center"/>
            </w:pPr>
            <w:r/>
            <w:r>
              <w:rPr>
                <w:rFonts w:ascii="Times New Roman" w:hAnsi="Times New Roman" w:eastAsia="宋体"/>
                <w:sz w:val="16"/>
              </w:rPr>
              <w:t>0.237</w:t>
            </w:r>
          </w:p>
        </w:tc>
        <w:tc>
          <w:tcPr>
            <w:tcW w:type="dxa" w:w="1337"/>
          </w:tcPr>
          <w:p>
            <w:pPr>
              <w:jc w:val="center"/>
            </w:pPr>
            <w:r/>
            <w:r>
              <w:rPr>
                <w:rFonts w:ascii="Times New Roman" w:hAnsi="Times New Roman" w:eastAsia="宋体"/>
                <w:sz w:val="16"/>
              </w:rPr>
              <w:t>0.194</w:t>
            </w:r>
          </w:p>
        </w:tc>
        <w:tc>
          <w:tcPr>
            <w:tcW w:type="dxa" w:w="1337"/>
          </w:tcPr>
          <w:p>
            <w:pPr>
              <w:jc w:val="center"/>
            </w:pPr>
            <w:r/>
            <w:r>
              <w:rPr>
                <w:rFonts w:ascii="Times New Roman" w:hAnsi="Times New Roman" w:eastAsia="宋体"/>
                <w:sz w:val="16"/>
              </w:rPr>
              <w:t>0.309</w:t>
            </w:r>
          </w:p>
        </w:tc>
        <w:tc>
          <w:tcPr>
            <w:tcW w:type="dxa" w:w="1337"/>
          </w:tcPr>
          <w:p>
            <w:pPr>
              <w:jc w:val="center"/>
            </w:pPr>
            <w:r/>
            <w:r>
              <w:rPr>
                <w:rFonts w:ascii="Times New Roman" w:hAnsi="Times New Roman" w:eastAsia="宋体"/>
                <w:sz w:val="16"/>
              </w:rPr>
              <w:t>0.457</w:t>
            </w:r>
          </w:p>
        </w:tc>
      </w:tr>
      <w:tr>
        <w:tc>
          <w:tcPr>
            <w:tcW w:type="dxa" w:w="1337"/>
            <w:shd w:fill="EBF5FB"/>
          </w:tcPr>
          <w:p>
            <w:pPr>
              <w:jc w:val="center"/>
            </w:pPr>
            <w:r/>
            <w:r>
              <w:rPr>
                <w:rFonts w:ascii="Times New Roman" w:hAnsi="Times New Roman" w:eastAsia="宋体"/>
                <w:sz w:val="16"/>
              </w:rPr>
              <w:t>石块</w:t>
            </w:r>
          </w:p>
        </w:tc>
        <w:tc>
          <w:tcPr>
            <w:tcW w:type="dxa" w:w="1337"/>
            <w:shd w:fill="EBF5FB"/>
          </w:tcPr>
          <w:p>
            <w:pPr>
              <w:jc w:val="center"/>
            </w:pPr>
            <w:r/>
            <w:r>
              <w:rPr>
                <w:rFonts w:ascii="Times New Roman" w:hAnsi="Times New Roman" w:eastAsia="宋体"/>
                <w:sz w:val="16"/>
              </w:rPr>
              <w:t>0.337</w:t>
            </w:r>
          </w:p>
        </w:tc>
        <w:tc>
          <w:tcPr>
            <w:tcW w:type="dxa" w:w="1337"/>
            <w:shd w:fill="EBF5FB"/>
          </w:tcPr>
          <w:p>
            <w:pPr>
              <w:jc w:val="center"/>
            </w:pPr>
            <w:r/>
            <w:r>
              <w:rPr>
                <w:rFonts w:ascii="Times New Roman" w:hAnsi="Times New Roman" w:eastAsia="宋体"/>
                <w:sz w:val="16"/>
              </w:rPr>
              <w:t>0.539</w:t>
            </w:r>
          </w:p>
        </w:tc>
        <w:tc>
          <w:tcPr>
            <w:tcW w:type="dxa" w:w="1337"/>
            <w:shd w:fill="EBF5FB"/>
          </w:tcPr>
          <w:p>
            <w:pPr>
              <w:jc w:val="center"/>
            </w:pPr>
            <w:r/>
            <w:r>
              <w:rPr>
                <w:rFonts w:ascii="Times New Roman" w:hAnsi="Times New Roman" w:eastAsia="宋体"/>
                <w:sz w:val="16"/>
              </w:rPr>
              <w:t>0.586</w:t>
            </w:r>
          </w:p>
        </w:tc>
        <w:tc>
          <w:tcPr>
            <w:tcW w:type="dxa" w:w="1337"/>
            <w:shd w:fill="EBF5FB"/>
          </w:tcPr>
          <w:p>
            <w:pPr>
              <w:jc w:val="center"/>
            </w:pPr>
            <w:r/>
            <w:r>
              <w:rPr>
                <w:rFonts w:ascii="Times New Roman" w:hAnsi="Times New Roman" w:eastAsia="宋体"/>
                <w:sz w:val="16"/>
              </w:rPr>
              <w:t>0.693</w:t>
            </w:r>
          </w:p>
        </w:tc>
        <w:tc>
          <w:tcPr>
            <w:tcW w:type="dxa" w:w="1337"/>
            <w:shd w:fill="EBF5FB"/>
          </w:tcPr>
          <w:p>
            <w:pPr>
              <w:jc w:val="center"/>
            </w:pPr>
            <w:r/>
            <w:r>
              <w:rPr>
                <w:rFonts w:ascii="Times New Roman" w:hAnsi="Times New Roman" w:eastAsia="宋体"/>
                <w:sz w:val="16"/>
              </w:rPr>
              <w:t>0.421</w:t>
            </w:r>
          </w:p>
        </w:tc>
        <w:tc>
          <w:tcPr>
            <w:tcW w:type="dxa" w:w="1337"/>
            <w:shd w:fill="EBF5FB"/>
          </w:tcPr>
          <w:p>
            <w:pPr>
              <w:jc w:val="center"/>
            </w:pPr>
            <w:r/>
            <w:r>
              <w:rPr>
                <w:rFonts w:ascii="Times New Roman" w:hAnsi="Times New Roman" w:eastAsia="宋体"/>
                <w:sz w:val="16"/>
              </w:rPr>
              <w:t>0.605</w:t>
            </w:r>
          </w:p>
        </w:tc>
      </w:tr>
      <w:tr>
        <w:tc>
          <w:tcPr>
            <w:tcW w:type="dxa" w:w="1337"/>
          </w:tcPr>
          <w:p>
            <w:pPr>
              <w:jc w:val="center"/>
            </w:pPr>
            <w:r/>
            <w:r>
              <w:rPr>
                <w:rFonts w:ascii="Times New Roman" w:hAnsi="Times New Roman" w:eastAsia="宋体"/>
                <w:sz w:val="16"/>
              </w:rPr>
              <w:t>花瓶</w:t>
            </w:r>
          </w:p>
        </w:tc>
        <w:tc>
          <w:tcPr>
            <w:tcW w:type="dxa" w:w="1337"/>
          </w:tcPr>
          <w:p>
            <w:pPr>
              <w:jc w:val="center"/>
            </w:pPr>
            <w:r/>
            <w:r>
              <w:rPr>
                <w:rFonts w:ascii="Times New Roman" w:hAnsi="Times New Roman" w:eastAsia="宋体"/>
                <w:sz w:val="16"/>
              </w:rPr>
              <w:t>0.389</w:t>
            </w:r>
          </w:p>
        </w:tc>
        <w:tc>
          <w:tcPr>
            <w:tcW w:type="dxa" w:w="1337"/>
          </w:tcPr>
          <w:p>
            <w:pPr>
              <w:jc w:val="center"/>
            </w:pPr>
            <w:r/>
            <w:r>
              <w:rPr>
                <w:rFonts w:ascii="Times New Roman" w:hAnsi="Times New Roman" w:eastAsia="宋体"/>
                <w:sz w:val="16"/>
              </w:rPr>
              <w:t>0.557</w:t>
            </w:r>
          </w:p>
        </w:tc>
        <w:tc>
          <w:tcPr>
            <w:tcW w:type="dxa" w:w="1337"/>
          </w:tcPr>
          <w:p>
            <w:pPr>
              <w:jc w:val="center"/>
            </w:pPr>
            <w:r/>
            <w:r>
              <w:rPr>
                <w:rFonts w:ascii="Times New Roman" w:hAnsi="Times New Roman" w:eastAsia="宋体"/>
                <w:sz w:val="16"/>
              </w:rPr>
              <w:t>0.339</w:t>
            </w:r>
          </w:p>
        </w:tc>
        <w:tc>
          <w:tcPr>
            <w:tcW w:type="dxa" w:w="1337"/>
          </w:tcPr>
          <w:p>
            <w:pPr>
              <w:jc w:val="center"/>
            </w:pPr>
            <w:r/>
            <w:r>
              <w:rPr>
                <w:rFonts w:ascii="Times New Roman" w:hAnsi="Times New Roman" w:eastAsia="宋体"/>
                <w:sz w:val="16"/>
              </w:rPr>
              <w:t>0.072</w:t>
            </w:r>
          </w:p>
        </w:tc>
        <w:tc>
          <w:tcPr>
            <w:tcW w:type="dxa" w:w="1337"/>
          </w:tcPr>
          <w:p>
            <w:pPr>
              <w:jc w:val="center"/>
            </w:pPr>
            <w:r/>
            <w:r>
              <w:rPr>
                <w:rFonts w:ascii="Times New Roman" w:hAnsi="Times New Roman" w:eastAsia="宋体"/>
                <w:sz w:val="16"/>
              </w:rPr>
              <w:t>0.361</w:t>
            </w:r>
          </w:p>
        </w:tc>
        <w:tc>
          <w:tcPr>
            <w:tcW w:type="dxa" w:w="1337"/>
          </w:tcPr>
          <w:p>
            <w:pPr>
              <w:jc w:val="center"/>
            </w:pPr>
            <w:r/>
            <w:r>
              <w:rPr>
                <w:rFonts w:ascii="Times New Roman" w:hAnsi="Times New Roman" w:eastAsia="宋体"/>
                <w:sz w:val="16"/>
              </w:rPr>
              <w:t>0.706</w:t>
            </w:r>
          </w:p>
        </w:tc>
      </w:tr>
    </w:tbl>
    <w:p/>
    <w:p>
      <w:pPr>
        <w:ind w:firstLine="420"/>
      </w:pPr>
      <w:r>
        <w:rPr>
          <w:rFonts w:ascii="Times New Roman" w:hAnsi="Times New Roman" w:eastAsia="宋体"/>
          <w:sz w:val="22"/>
        </w:rPr>
        <w:t>这些质心清晰地反映了物理直觉：球体的初爻极低（不稳定），立方体和盘子的初爻很高（稳定）；花瓶的四爻极低（0.072，极脆弱）；圆柱体的上爻最高（0.787，环境通常宽敞）。质心数据的可解释性本身就是YLYW方法论价值的一个缩影——在深度学习中，你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将42个已定义的卦象按其卦辞语义和策略类型，指定其"应服务"的物体类型集合。例如，震为雷（动态抓取）→{球体, 圆柱体}（因球体和圆柱体都具有高滚动特性），乾为天（强力抓取）→{立方体}（因立方体通常重且稳定），坤为地（精确轻抓）→{碗, 瓶子, 花瓶}（因这些物体通常易碎）。这种映射将千年易学智慧与现代物理分类建立了直接对应。</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 p_h = (1/|T_h|) Σ_{t∈T_h} c_t + ε_h，其中 ε_h 为基于卦名哈希的确定性微小扰动（±0.025），确保同策略族的多个卦具有相近但不完全相同的模板。</w:t>
      </w:r>
    </w:p>
    <w:p>
      <w:pPr>
        <w:ind w:firstLine="420"/>
      </w:pPr>
      <w:r>
        <w:rPr>
          <w:rFonts w:ascii="Times New Roman" w:hAnsi="Times New Roman" w:eastAsia="宋体"/>
          <w:sz w:val="22"/>
        </w:rPr>
        <w:t>此外，针对火水未济卦在初始版本中被大量物体错误匹配（占26%命中率）的问题，将其模板手动修正为极端值[0.07, 0.88, 0.11, 0.07, 0.06, 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震为雷(dynamic)</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乾为天(power)</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火泽睽(irregular)</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这种"诊断→调参→验证"的闭环在深度学习模型中完全不可能——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确定了"匹配哪个卦"——即策略的类型。但《易经》的推理不止于此。在确定卦象之后，还须分析六爻之间的结构关系，以判断策略执行的质量与可信度。本节引入爻位关系运算层（L3+），将《周易》中五种经典的爻位关系形式化为可计算的评分与修正机制。</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表7给出了当位、得中、乘承、亲比、呼应五种关系的形式化定义。这些定义直接源自《周易》经文和历代注疏，经过程序化转译后成为可计算的判据。</w:t>
      </w:r>
    </w:p>
    <w:p>
      <w:pPr>
        <w:jc w:val="center"/>
      </w:pPr>
      <w:r>
        <w:rPr>
          <w:rFonts w:ascii="Times New Roman" w:hAnsi="Times New Roman" w:eastAsia="黑体"/>
          <w:b/>
          <w:sz w:val="18"/>
        </w:rPr>
        <w:t>表7. 五种爻位关系的形式化定义与判据</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关系</w:t>
            </w:r>
          </w:p>
        </w:tc>
        <w:tc>
          <w:tcPr>
            <w:tcW w:type="dxa" w:w="2340"/>
            <w:shd w:fill="1A5276"/>
          </w:tcPr>
          <w:p>
            <w:pPr>
              <w:jc w:val="center"/>
            </w:pPr>
            <w:r/>
            <w:r>
              <w:rPr>
                <w:rFonts w:ascii="Times New Roman" w:hAnsi="Times New Roman" w:eastAsia="黑体"/>
                <w:b/>
                <w:color w:val="FFFFFF"/>
                <w:sz w:val="16"/>
              </w:rPr>
              <w:t>《周易》定义</w:t>
            </w:r>
          </w:p>
        </w:tc>
        <w:tc>
          <w:tcPr>
            <w:tcW w:type="dxa" w:w="2340"/>
            <w:shd w:fill="1A5276"/>
          </w:tcPr>
          <w:p>
            <w:pPr>
              <w:jc w:val="center"/>
            </w:pPr>
            <w:r/>
            <w:r>
              <w:rPr>
                <w:rFonts w:ascii="Times New Roman" w:hAnsi="Times New Roman" w:eastAsia="黑体"/>
                <w:b/>
                <w:color w:val="FFFFFF"/>
                <w:sz w:val="16"/>
              </w:rPr>
              <w:t>程序化判据</w:t>
            </w:r>
          </w:p>
        </w:tc>
        <w:tc>
          <w:tcPr>
            <w:tcW w:type="dxa" w:w="2340"/>
            <w:shd w:fill="1A5276"/>
          </w:tcPr>
          <w:p>
            <w:pPr>
              <w:jc w:val="center"/>
            </w:pPr>
            <w:r/>
            <w:r>
              <w:rPr>
                <w:rFonts w:ascii="Times New Roman" w:hAnsi="Times New Roman" w:eastAsia="黑体"/>
                <w:b/>
                <w:color w:val="FFFFFF"/>
                <w:sz w:val="16"/>
              </w:rPr>
              <w:t>策略影响</w:t>
            </w:r>
          </w:p>
        </w:tc>
      </w:tr>
      <w:tr>
        <w:tc>
          <w:tcPr>
            <w:tcW w:type="dxa" w:w="2340"/>
            <w:shd w:fill="EBF5FB"/>
          </w:tcPr>
          <w:p>
            <w:pPr>
              <w:jc w:val="center"/>
            </w:pPr>
            <w:r/>
            <w:r>
              <w:rPr>
                <w:rFonts w:ascii="Times New Roman" w:hAnsi="Times New Roman" w:eastAsia="宋体"/>
                <w:sz w:val="16"/>
              </w:rPr>
              <w:t>当位</w:t>
            </w:r>
          </w:p>
        </w:tc>
        <w:tc>
          <w:tcPr>
            <w:tcW w:type="dxa" w:w="2340"/>
            <w:shd w:fill="EBF5FB"/>
          </w:tcPr>
          <w:p>
            <w:pPr>
              <w:jc w:val="center"/>
            </w:pPr>
            <w:r/>
            <w:r>
              <w:rPr>
                <w:rFonts w:ascii="Times New Roman" w:hAnsi="Times New Roman" w:eastAsia="宋体"/>
                <w:sz w:val="16"/>
              </w:rPr>
              <w:t>阳爻居初/三/五位(阳位)，阴爻居二/四/上位(阴位)</w:t>
            </w:r>
          </w:p>
        </w:tc>
        <w:tc>
          <w:tcPr>
            <w:tcW w:type="dxa" w:w="2340"/>
            <w:shd w:fill="EBF5FB"/>
          </w:tcPr>
          <w:p>
            <w:pPr>
              <w:jc w:val="center"/>
            </w:pPr>
            <w:r/>
            <w:r>
              <w:rPr>
                <w:rFonts w:ascii="Times New Roman" w:hAnsi="Times New Roman" w:eastAsia="宋体"/>
                <w:sz w:val="16"/>
              </w:rPr>
              <w:t>(yao[i]≥0.5)==(i∈{0,2,4})</w:t>
            </w:r>
          </w:p>
        </w:tc>
        <w:tc>
          <w:tcPr>
            <w:tcW w:type="dxa" w:w="2340"/>
            <w:shd w:fill="EBF5FB"/>
          </w:tcPr>
          <w:p>
            <w:pPr>
              <w:jc w:val="center"/>
            </w:pPr>
            <w:r/>
            <w:r>
              <w:rPr>
                <w:rFonts w:ascii="Times New Roman" w:hAnsi="Times New Roman" w:eastAsia="宋体"/>
                <w:sz w:val="16"/>
              </w:rPr>
              <w:t>影响系统稳定性基础</w:t>
            </w:r>
          </w:p>
        </w:tc>
      </w:tr>
      <w:tr>
        <w:tc>
          <w:tcPr>
            <w:tcW w:type="dxa" w:w="2340"/>
          </w:tcPr>
          <w:p>
            <w:pPr>
              <w:jc w:val="center"/>
            </w:pPr>
            <w:r/>
            <w:r>
              <w:rPr>
                <w:rFonts w:ascii="Times New Roman" w:hAnsi="Times New Roman" w:eastAsia="宋体"/>
                <w:sz w:val="16"/>
              </w:rPr>
              <w:t>得中</w:t>
            </w:r>
          </w:p>
        </w:tc>
        <w:tc>
          <w:tcPr>
            <w:tcW w:type="dxa" w:w="2340"/>
          </w:tcPr>
          <w:p>
            <w:pPr>
              <w:jc w:val="center"/>
            </w:pPr>
            <w:r/>
            <w:r>
              <w:rPr>
                <w:rFonts w:ascii="Times New Roman" w:hAnsi="Times New Roman" w:eastAsia="宋体"/>
                <w:sz w:val="16"/>
              </w:rPr>
              <w:t>二爻和五爻为"中位"，象征中道与平衡</w:t>
            </w:r>
          </w:p>
        </w:tc>
        <w:tc>
          <w:tcPr>
            <w:tcW w:type="dxa" w:w="2340"/>
          </w:tcPr>
          <w:p>
            <w:pPr>
              <w:jc w:val="center"/>
            </w:pPr>
            <w:r/>
            <w:r>
              <w:rPr>
                <w:rFonts w:ascii="Times New Roman" w:hAnsi="Times New Roman" w:eastAsia="宋体"/>
                <w:sz w:val="16"/>
              </w:rPr>
              <w:t>六二(yao[1]&lt;0.5)+九五(yao[4]≥0.5)=最佳</w:t>
            </w:r>
          </w:p>
        </w:tc>
        <w:tc>
          <w:tcPr>
            <w:tcW w:type="dxa" w:w="2340"/>
          </w:tcPr>
          <w:p>
            <w:pPr>
              <w:jc w:val="center"/>
            </w:pPr>
            <w:r/>
            <w:r>
              <w:rPr>
                <w:rFonts w:ascii="Times New Roman" w:hAnsi="Times New Roman" w:eastAsia="宋体"/>
                <w:sz w:val="16"/>
              </w:rPr>
              <w:t>影响决策优先级</w:t>
            </w:r>
          </w:p>
        </w:tc>
      </w:tr>
      <w:tr>
        <w:tc>
          <w:tcPr>
            <w:tcW w:type="dxa" w:w="2340"/>
            <w:shd w:fill="EBF5FB"/>
          </w:tcPr>
          <w:p>
            <w:pPr>
              <w:jc w:val="center"/>
            </w:pPr>
            <w:r/>
            <w:r>
              <w:rPr>
                <w:rFonts w:ascii="Times New Roman" w:hAnsi="Times New Roman" w:eastAsia="宋体"/>
                <w:sz w:val="16"/>
              </w:rPr>
              <w:t>乘(逆)</w:t>
            </w:r>
          </w:p>
        </w:tc>
        <w:tc>
          <w:tcPr>
            <w:tcW w:type="dxa" w:w="2340"/>
            <w:shd w:fill="EBF5FB"/>
          </w:tcPr>
          <w:p>
            <w:pPr>
              <w:jc w:val="center"/>
            </w:pPr>
            <w:r/>
            <w:r>
              <w:rPr>
                <w:rFonts w:ascii="Times New Roman" w:hAnsi="Times New Roman" w:eastAsia="宋体"/>
                <w:sz w:val="16"/>
              </w:rPr>
              <w:t>阴爻在上方压制下方阳爻</w:t>
            </w:r>
          </w:p>
        </w:tc>
        <w:tc>
          <w:tcPr>
            <w:tcW w:type="dxa" w:w="2340"/>
            <w:shd w:fill="EBF5FB"/>
          </w:tcPr>
          <w:p>
            <w:pPr>
              <w:jc w:val="center"/>
            </w:pPr>
            <w:r/>
            <w:r>
              <w:rPr>
                <w:rFonts w:ascii="Times New Roman" w:hAnsi="Times New Roman" w:eastAsia="宋体"/>
                <w:sz w:val="16"/>
              </w:rPr>
              <w:t>yao[i+1]&lt;0.5 and yao[i]≥0.5</w:t>
            </w:r>
          </w:p>
        </w:tc>
        <w:tc>
          <w:tcPr>
            <w:tcW w:type="dxa" w:w="2340"/>
            <w:shd w:fill="EBF5FB"/>
          </w:tcPr>
          <w:p>
            <w:pPr>
              <w:jc w:val="center"/>
            </w:pPr>
            <w:r/>
            <w:r>
              <w:rPr>
                <w:rFonts w:ascii="Times New Roman" w:hAnsi="Times New Roman" w:eastAsia="宋体"/>
                <w:sz w:val="16"/>
              </w:rPr>
              <w:t>降低期望力(-0.10/处)</w:t>
            </w:r>
          </w:p>
        </w:tc>
      </w:tr>
      <w:tr>
        <w:tc>
          <w:tcPr>
            <w:tcW w:type="dxa" w:w="2340"/>
          </w:tcPr>
          <w:p>
            <w:pPr>
              <w:jc w:val="center"/>
            </w:pPr>
            <w:r/>
            <w:r>
              <w:rPr>
                <w:rFonts w:ascii="Times New Roman" w:hAnsi="Times New Roman" w:eastAsia="宋体"/>
                <w:sz w:val="16"/>
              </w:rPr>
              <w:t>承(顺)</w:t>
            </w:r>
          </w:p>
        </w:tc>
        <w:tc>
          <w:tcPr>
            <w:tcW w:type="dxa" w:w="2340"/>
          </w:tcPr>
          <w:p>
            <w:pPr>
              <w:jc w:val="center"/>
            </w:pPr>
            <w:r/>
            <w:r>
              <w:rPr>
                <w:rFonts w:ascii="Times New Roman" w:hAnsi="Times New Roman" w:eastAsia="宋体"/>
                <w:sz w:val="16"/>
              </w:rPr>
              <w:t>阴爻在下方承载上方阳爻</w:t>
            </w:r>
          </w:p>
        </w:tc>
        <w:tc>
          <w:tcPr>
            <w:tcW w:type="dxa" w:w="2340"/>
          </w:tcPr>
          <w:p>
            <w:pPr>
              <w:jc w:val="center"/>
            </w:pPr>
            <w:r/>
            <w:r>
              <w:rPr>
                <w:rFonts w:ascii="Times New Roman" w:hAnsi="Times New Roman" w:eastAsia="宋体"/>
                <w:sz w:val="16"/>
              </w:rPr>
              <w:t>yao[i]&lt;0.5 and yao[i+1]≥0.5</w:t>
            </w:r>
          </w:p>
        </w:tc>
        <w:tc>
          <w:tcPr>
            <w:tcW w:type="dxa" w:w="2340"/>
          </w:tcPr>
          <w:p>
            <w:pPr>
              <w:jc w:val="center"/>
            </w:pPr>
            <w:r/>
            <w:r>
              <w:rPr>
                <w:rFonts w:ascii="Times New Roman" w:hAnsi="Times New Roman" w:eastAsia="宋体"/>
                <w:sz w:val="16"/>
              </w:rPr>
              <w:t>提升策略流畅度</w:t>
            </w:r>
          </w:p>
        </w:tc>
      </w:tr>
      <w:tr>
        <w:tc>
          <w:tcPr>
            <w:tcW w:type="dxa" w:w="2340"/>
            <w:shd w:fill="EBF5FB"/>
          </w:tcPr>
          <w:p>
            <w:pPr>
              <w:jc w:val="center"/>
            </w:pPr>
            <w:r/>
            <w:r>
              <w:rPr>
                <w:rFonts w:ascii="Times New Roman" w:hAnsi="Times New Roman" w:eastAsia="宋体"/>
                <w:sz w:val="16"/>
              </w:rPr>
              <w:t>亲比</w:t>
            </w:r>
          </w:p>
        </w:tc>
        <w:tc>
          <w:tcPr>
            <w:tcW w:type="dxa" w:w="2340"/>
            <w:shd w:fill="EBF5FB"/>
          </w:tcPr>
          <w:p>
            <w:pPr>
              <w:jc w:val="center"/>
            </w:pPr>
            <w:r/>
            <w:r>
              <w:rPr>
                <w:rFonts w:ascii="Times New Roman" w:hAnsi="Times New Roman" w:eastAsia="宋体"/>
                <w:sz w:val="16"/>
              </w:rPr>
              <w:t>相邻两爻同阴阳为亲比</w:t>
            </w:r>
          </w:p>
        </w:tc>
        <w:tc>
          <w:tcPr>
            <w:tcW w:type="dxa" w:w="2340"/>
            <w:shd w:fill="EBF5FB"/>
          </w:tcPr>
          <w:p>
            <w:pPr>
              <w:jc w:val="center"/>
            </w:pPr>
            <w:r/>
            <w:r>
              <w:rPr>
                <w:rFonts w:ascii="Times New Roman" w:hAnsi="Times New Roman" w:eastAsia="宋体"/>
                <w:sz w:val="16"/>
              </w:rPr>
              <w:t>(yao[i]≥0.5)==(yao[i+1]≥0.5)</w:t>
            </w:r>
          </w:p>
        </w:tc>
        <w:tc>
          <w:tcPr>
            <w:tcW w:type="dxa" w:w="2340"/>
            <w:shd w:fill="EBF5FB"/>
          </w:tcPr>
          <w:p>
            <w:pPr>
              <w:jc w:val="center"/>
            </w:pPr>
            <w:r/>
            <w:r>
              <w:rPr>
                <w:rFonts w:ascii="Times New Roman" w:hAnsi="Times New Roman" w:eastAsia="宋体"/>
                <w:sz w:val="16"/>
              </w:rPr>
              <w:t>影响动作连贯性</w:t>
            </w:r>
          </w:p>
        </w:tc>
      </w:tr>
      <w:tr>
        <w:tc>
          <w:tcPr>
            <w:tcW w:type="dxa" w:w="2340"/>
          </w:tcPr>
          <w:p>
            <w:pPr>
              <w:jc w:val="center"/>
            </w:pPr>
            <w:r/>
            <w:r>
              <w:rPr>
                <w:rFonts w:ascii="Times New Roman" w:hAnsi="Times New Roman" w:eastAsia="宋体"/>
                <w:sz w:val="16"/>
              </w:rPr>
              <w:t>呼应</w:t>
            </w:r>
          </w:p>
        </w:tc>
        <w:tc>
          <w:tcPr>
            <w:tcW w:type="dxa" w:w="2340"/>
          </w:tcPr>
          <w:p>
            <w:pPr>
              <w:jc w:val="center"/>
            </w:pPr>
            <w:r/>
            <w:r>
              <w:rPr>
                <w:rFonts w:ascii="Times New Roman" w:hAnsi="Times New Roman" w:eastAsia="宋体"/>
                <w:sz w:val="16"/>
              </w:rPr>
              <w:t>初-四、二-五、三-上，阴阳相反为"有应"</w:t>
            </w:r>
          </w:p>
        </w:tc>
        <w:tc>
          <w:tcPr>
            <w:tcW w:type="dxa" w:w="2340"/>
          </w:tcPr>
          <w:p>
            <w:pPr>
              <w:jc w:val="center"/>
            </w:pPr>
            <w:r/>
            <w:r>
              <w:rPr>
                <w:rFonts w:ascii="Times New Roman" w:hAnsi="Times New Roman" w:eastAsia="宋体"/>
                <w:sz w:val="16"/>
              </w:rPr>
              <w:t>(yao[a]≥0.5)≠(yao[b]≥0.5) for (a,b)∈{(0,3),(1,4),(2,5)}</w:t>
            </w:r>
          </w:p>
        </w:tc>
        <w:tc>
          <w:tcPr>
            <w:tcW w:type="dxa" w:w="2340"/>
          </w:tcPr>
          <w:p>
            <w:pPr>
              <w:jc w:val="center"/>
            </w:pPr>
            <w:r/>
            <w:r>
              <w:rPr>
                <w:rFonts w:ascii="Times New Roman" w:hAnsi="Times New Roman" w:eastAsia="宋体"/>
                <w:sz w:val="16"/>
              </w:rPr>
              <w:t>影响策略确信度</w:t>
            </w:r>
          </w:p>
        </w:tc>
      </w:tr>
    </w:tbl>
    <w:p/>
    <w:p>
      <w:pPr>
        <w:pStyle w:val="Heading2"/>
      </w:pPr>
      <w:r>
        <w:rPr>
          <w:rFonts w:ascii="Times New Roman" w:hAnsi="Times New Roman" w:eastAsia="黑体"/>
          <w:sz w:val="30"/>
        </w:rPr>
        <w:t>3.2 算法1：爻位关系运算伪代码</w:t>
      </w:r>
    </w:p>
    <w:p>
      <w:pPr>
        <w:ind w:firstLine="420"/>
      </w:pPr>
      <w:r>
        <w:rPr>
          <w:rFonts w:ascii="Times New Roman" w:hAnsi="Times New Roman" w:eastAsia="宋体"/>
          <w:sz w:val="22"/>
        </w:rPr>
        <w:t>算法1展示了完整的爻位关系运算流程。输入为L2层输出的6维爻向量 y ∈ [0,1]⁶，输出为综合爻位质量评分 S_yao 和策略修正系数 modifier。该算法的核心设计原则是：所有判定都是确定性的，权重分配源自易学传统对各类关系的重视程度。</w:t>
      </w:r>
    </w:p>
    <w:p>
      <w:pPr>
        <w:spacing w:after="0" w:before="0"/>
        <w:ind w:left="567"/>
      </w:pPr>
      <w:r>
        <w:rPr>
          <w:rFonts w:ascii="Courier New" w:hAnsi="Courier New"/>
          <w:sz w:val="16"/>
        </w:rPr>
        <w:t>Algorithm 1: Yao Relations Analysis</w:t>
      </w:r>
    </w:p>
    <w:p>
      <w:pPr>
        <w:spacing w:after="0" w:before="0"/>
        <w:ind w:left="567"/>
      </w:pPr>
      <w:r>
        <w:rPr>
          <w:rFonts w:ascii="Courier New" w:hAnsi="Courier New"/>
          <w:sz w:val="16"/>
        </w:rPr>
        <w:t>────────────────────────────────────────────────</w:t>
      </w:r>
    </w:p>
    <w:p>
      <w:pPr>
        <w:spacing w:after="0" w:before="0"/>
        <w:ind w:left="567"/>
      </w:pPr>
      <w:r>
        <w:rPr>
          <w:rFonts w:ascii="Courier New" w:hAnsi="Courier New"/>
          <w:sz w:val="16"/>
        </w:rPr>
        <w:t>Input:  y ∈ [0,1]⁶    // 六爻值向量</w:t>
      </w:r>
    </w:p>
    <w:p>
      <w:pPr>
        <w:spacing w:after="0" w:before="0"/>
        <w:ind w:left="567"/>
      </w:pPr>
      <w:r>
        <w:rPr>
          <w:rFonts w:ascii="Courier New" w:hAnsi="Courier New"/>
          <w:sz w:val="16"/>
        </w:rPr>
        <w:t>Output: S_yao, modifier</w:t>
      </w:r>
    </w:p>
    <w:p>
      <w:pPr>
        <w:spacing w:after="0" w:before="0"/>
        <w:ind w:left="567"/>
      </w:pPr>
      <w:r>
        <w:rPr>
          <w:rFonts w:ascii="Courier New" w:hAnsi="Courier New"/>
          <w:sz w:val="16"/>
        </w:rPr>
      </w:r>
    </w:p>
    <w:p>
      <w:pPr>
        <w:spacing w:after="0" w:before="0"/>
        <w:ind w:left="567"/>
      </w:pPr>
      <w:r>
        <w:rPr>
          <w:rFonts w:ascii="Courier New" w:hAnsi="Courier New"/>
          <w:sz w:val="16"/>
        </w:rPr>
        <w:t>1. 当位分析 (Dangwei):</w:t>
      </w:r>
    </w:p>
    <w:p>
      <w:pPr>
        <w:spacing w:after="0" w:before="0"/>
        <w:ind w:left="567"/>
      </w:pPr>
      <w:r>
        <w:rPr>
          <w:rFonts w:ascii="Courier New" w:hAnsi="Courier New"/>
          <w:sz w:val="16"/>
        </w:rPr>
        <w:t xml:space="preserve">   yang_pos ← {0, 2, 4}                        // 阳位: 初/三/五</w:t>
      </w:r>
    </w:p>
    <w:p>
      <w:pPr>
        <w:spacing w:after="0" w:before="0"/>
        <w:ind w:left="567"/>
      </w:pPr>
      <w:r>
        <w:rPr>
          <w:rFonts w:ascii="Courier New" w:hAnsi="Courier New"/>
          <w:sz w:val="16"/>
        </w:rPr>
        <w:t xml:space="preserve">   dangwei  ← Σ_i [ (y[i]≥0.5) == (i∈yang_pos) ]</w:t>
      </w:r>
    </w:p>
    <w:p>
      <w:pPr>
        <w:spacing w:after="0" w:before="0"/>
        <w:ind w:left="567"/>
      </w:pPr>
      <w:r>
        <w:rPr>
          <w:rFonts w:ascii="Courier New" w:hAnsi="Courier New"/>
          <w:sz w:val="16"/>
        </w:rPr>
        <w:t xml:space="preserve">   S_dw     ← dangwei / 6.0</w:t>
      </w:r>
    </w:p>
    <w:p>
      <w:pPr>
        <w:spacing w:after="0" w:before="0"/>
        <w:ind w:left="567"/>
      </w:pPr>
      <w:r>
        <w:rPr>
          <w:rFonts w:ascii="Courier New" w:hAnsi="Courier New"/>
          <w:sz w:val="16"/>
        </w:rPr>
      </w:r>
    </w:p>
    <w:p>
      <w:pPr>
        <w:spacing w:after="0" w:before="0"/>
        <w:ind w:left="567"/>
      </w:pPr>
      <w:r>
        <w:rPr>
          <w:rFonts w:ascii="Courier New" w:hAnsi="Courier New"/>
          <w:sz w:val="16"/>
        </w:rPr>
        <w:t>2. 得中分析 (Dezhong):</w:t>
      </w:r>
    </w:p>
    <w:p>
      <w:pPr>
        <w:spacing w:after="0" w:before="0"/>
        <w:ind w:left="567"/>
      </w:pPr>
      <w:r>
        <w:rPr>
          <w:rFonts w:ascii="Courier New" w:hAnsi="Courier New"/>
          <w:sz w:val="16"/>
        </w:rPr>
        <w:t xml:space="preserve">   er_yin   ← y[1] &lt; 0.5                       // 二爻为阴 = 六二</w:t>
      </w:r>
    </w:p>
    <w:p>
      <w:pPr>
        <w:spacing w:after="0" w:before="0"/>
        <w:ind w:left="567"/>
      </w:pPr>
      <w:r>
        <w:rPr>
          <w:rFonts w:ascii="Courier New" w:hAnsi="Courier New"/>
          <w:sz w:val="16"/>
        </w:rPr>
        <w:t xml:space="preserve">   wu_yang  ← y[4] ≥ 0.5                       // 五爻为阳 = 九五</w:t>
      </w:r>
    </w:p>
    <w:p>
      <w:pPr>
        <w:spacing w:after="0" w:before="0"/>
        <w:ind w:left="567"/>
      </w:pPr>
      <w:r>
        <w:rPr>
          <w:rFonts w:ascii="Courier New" w:hAnsi="Courier New"/>
          <w:sz w:val="16"/>
        </w:rPr>
        <w:t xml:space="preserve">   if er_yin ∧ wu_yang:       S_dz ← 1.00      // 最佳配置</w:t>
      </w:r>
    </w:p>
    <w:p>
      <w:pPr>
        <w:spacing w:after="0" w:before="0"/>
        <w:ind w:left="567"/>
      </w:pPr>
      <w:r>
        <w:rPr>
          <w:rFonts w:ascii="Courier New" w:hAnsi="Courier New"/>
          <w:sz w:val="16"/>
        </w:rPr>
        <w:t xml:space="preserve">   elif wu_yang:               S_dz ← 0.75      // 九五得中</w:t>
      </w:r>
    </w:p>
    <w:p>
      <w:pPr>
        <w:spacing w:after="0" w:before="0"/>
        <w:ind w:left="567"/>
      </w:pPr>
      <w:r>
        <w:rPr>
          <w:rFonts w:ascii="Courier New" w:hAnsi="Courier New"/>
          <w:sz w:val="16"/>
        </w:rPr>
        <w:t xml:space="preserve">   elif er_yin:                S_dz ← 0.50      // 六二得中</w:t>
      </w:r>
    </w:p>
    <w:p>
      <w:pPr>
        <w:spacing w:after="0" w:before="0"/>
        <w:ind w:left="567"/>
      </w:pPr>
      <w:r>
        <w:rPr>
          <w:rFonts w:ascii="Courier New" w:hAnsi="Courier New"/>
          <w:sz w:val="16"/>
        </w:rPr>
        <w:t xml:space="preserve">   else:                       S_dz ← 0.25      // 中位失据</w:t>
      </w:r>
    </w:p>
    <w:p>
      <w:pPr>
        <w:spacing w:after="0" w:before="0"/>
        <w:ind w:left="567"/>
      </w:pPr>
      <w:r>
        <w:rPr>
          <w:rFonts w:ascii="Courier New" w:hAnsi="Courier New"/>
          <w:sz w:val="16"/>
        </w:rPr>
      </w:r>
    </w:p>
    <w:p>
      <w:pPr>
        <w:spacing w:after="0" w:before="0"/>
        <w:ind w:left="567"/>
      </w:pPr>
      <w:r>
        <w:rPr>
          <w:rFonts w:ascii="Courier New" w:hAnsi="Courier New"/>
          <w:sz w:val="16"/>
        </w:rPr>
        <w:t>3. 乘承分析 (Cheng/Cheng):</w:t>
      </w:r>
    </w:p>
    <w:p>
      <w:pPr>
        <w:spacing w:after="0" w:before="0"/>
        <w:ind w:left="567"/>
      </w:pPr>
      <w:r>
        <w:rPr>
          <w:rFonts w:ascii="Courier New" w:hAnsi="Courier New"/>
          <w:sz w:val="16"/>
        </w:rPr>
        <w:t xml:space="preserve">   cheng ← 0;  cheng_hao ← 0</w:t>
      </w:r>
    </w:p>
    <w:p>
      <w:pPr>
        <w:spacing w:after="0" w:before="0"/>
        <w:ind w:left="567"/>
      </w:pPr>
      <w:r>
        <w:rPr>
          <w:rFonts w:ascii="Courier New" w:hAnsi="Courier New"/>
          <w:sz w:val="16"/>
        </w:rPr>
        <w:t xml:space="preserve">   for i in 0..4:                              // 5对相邻爻</w:t>
      </w:r>
    </w:p>
    <w:p>
      <w:pPr>
        <w:spacing w:after="0" w:before="0"/>
        <w:ind w:left="567"/>
      </w:pPr>
      <w:r>
        <w:rPr>
          <w:rFonts w:ascii="Courier New" w:hAnsi="Courier New"/>
          <w:sz w:val="16"/>
        </w:rPr>
        <w:t xml:space="preserve">     if y[i+1]&lt;0.5 ∧ y[i]≥0.5:   cheng += 1     // 乘(阴乘阳,逆)</w:t>
      </w:r>
    </w:p>
    <w:p>
      <w:pPr>
        <w:spacing w:after="0" w:before="0"/>
        <w:ind w:left="567"/>
      </w:pPr>
      <w:r>
        <w:rPr>
          <w:rFonts w:ascii="Courier New" w:hAnsi="Courier New"/>
          <w:sz w:val="16"/>
        </w:rPr>
        <w:t xml:space="preserve">     elif y[i]&lt;0.5 ∧ y[i+1]≥0.5: cheng_hao += 1 // 承(阴承阳,顺)</w:t>
      </w:r>
    </w:p>
    <w:p>
      <w:pPr>
        <w:spacing w:after="0" w:before="0"/>
        <w:ind w:left="567"/>
      </w:pPr>
      <w:r>
        <w:rPr>
          <w:rFonts w:ascii="Courier New" w:hAnsi="Courier New"/>
          <w:sz w:val="16"/>
        </w:rPr>
        <w:t xml:space="preserve">   S_cc ← max(0, 1.0 − cheng×0.3 + cheng_hao×0.15)</w:t>
      </w:r>
    </w:p>
    <w:p>
      <w:pPr>
        <w:spacing w:after="0" w:before="0"/>
        <w:ind w:left="567"/>
      </w:pPr>
      <w:r>
        <w:rPr>
          <w:rFonts w:ascii="Courier New" w:hAnsi="Courier New"/>
          <w:sz w:val="16"/>
        </w:rPr>
      </w:r>
    </w:p>
    <w:p>
      <w:pPr>
        <w:spacing w:after="0" w:before="0"/>
        <w:ind w:left="567"/>
      </w:pPr>
      <w:r>
        <w:rPr>
          <w:rFonts w:ascii="Courier New" w:hAnsi="Courier New"/>
          <w:sz w:val="16"/>
        </w:rPr>
        <w:t>4. 亲比分析 (Bi):</w:t>
      </w:r>
    </w:p>
    <w:p>
      <w:pPr>
        <w:spacing w:after="0" w:before="0"/>
        <w:ind w:left="567"/>
      </w:pPr>
      <w:r>
        <w:rPr>
          <w:rFonts w:ascii="Courier New" w:hAnsi="Courier New"/>
          <w:sz w:val="16"/>
        </w:rPr>
        <w:t xml:space="preserve">   harmony ← Σ_{i=0..4} [ (y[i]≥0.5)==(y[i+1]≥0.5) ]</w:t>
      </w:r>
    </w:p>
    <w:p>
      <w:pPr>
        <w:spacing w:after="0" w:before="0"/>
        <w:ind w:left="567"/>
      </w:pPr>
      <w:r>
        <w:rPr>
          <w:rFonts w:ascii="Courier New" w:hAnsi="Courier New"/>
          <w:sz w:val="16"/>
        </w:rPr>
        <w:t xml:space="preserve">   S_bi    ← harmony / 5.0</w:t>
      </w:r>
    </w:p>
    <w:p>
      <w:pPr>
        <w:spacing w:after="0" w:before="0"/>
        <w:ind w:left="567"/>
      </w:pPr>
      <w:r>
        <w:rPr>
          <w:rFonts w:ascii="Courier New" w:hAnsi="Courier New"/>
          <w:sz w:val="16"/>
        </w:rPr>
      </w:r>
    </w:p>
    <w:p>
      <w:pPr>
        <w:spacing w:after="0" w:before="0"/>
        <w:ind w:left="567"/>
      </w:pPr>
      <w:r>
        <w:rPr>
          <w:rFonts w:ascii="Courier New" w:hAnsi="Courier New"/>
          <w:sz w:val="16"/>
        </w:rPr>
        <w:t>5. 呼应分析 (Ying):</w:t>
      </w:r>
    </w:p>
    <w:p>
      <w:pPr>
        <w:spacing w:after="0" w:before="0"/>
        <w:ind w:left="567"/>
      </w:pPr>
      <w:r>
        <w:rPr>
          <w:rFonts w:ascii="Courier New" w:hAnsi="Courier New"/>
          <w:sz w:val="16"/>
        </w:rPr>
        <w:t xml:space="preserve">   ying ← Σ_{(a,b)∈{(0,3),(1,4),(2,5)}} [ (y[a]≥0.5)≠(y[b]≥0.5) ]</w:t>
      </w:r>
    </w:p>
    <w:p>
      <w:pPr>
        <w:spacing w:after="0" w:before="0"/>
        <w:ind w:left="567"/>
      </w:pPr>
      <w:r>
        <w:rPr>
          <w:rFonts w:ascii="Courier New" w:hAnsi="Courier New"/>
          <w:sz w:val="16"/>
        </w:rPr>
        <w:t xml:space="preserve">   S_ying ← ying / 3.0</w:t>
      </w:r>
    </w:p>
    <w:p>
      <w:pPr>
        <w:spacing w:after="0" w:before="0"/>
        <w:ind w:left="567"/>
      </w:pPr>
      <w:r>
        <w:rPr>
          <w:rFonts w:ascii="Courier New" w:hAnsi="Courier New"/>
          <w:sz w:val="16"/>
        </w:rPr>
      </w:r>
    </w:p>
    <w:p>
      <w:pPr>
        <w:spacing w:after="0" w:before="0"/>
        <w:ind w:left="567"/>
      </w:pPr>
      <w:r>
        <w:rPr>
          <w:rFonts w:ascii="Courier New" w:hAnsi="Courier New"/>
          <w:sz w:val="16"/>
        </w:rPr>
        <w:t>6. 综合爻位质量:</w:t>
      </w:r>
    </w:p>
    <w:p>
      <w:pPr>
        <w:spacing w:after="0" w:before="0"/>
        <w:ind w:left="567"/>
      </w:pPr>
      <w:r>
        <w:rPr>
          <w:rFonts w:ascii="Courier New" w:hAnsi="Courier New"/>
          <w:sz w:val="16"/>
        </w:rPr>
        <w:t xml:space="preserve">   S_yao ← 0.40·S_dw + 0.20·S_dz + 0.15·S_cc</w:t>
      </w:r>
    </w:p>
    <w:p>
      <w:pPr>
        <w:spacing w:after="0" w:before="0"/>
        <w:ind w:left="567"/>
      </w:pPr>
      <w:r>
        <w:rPr>
          <w:rFonts w:ascii="Courier New" w:hAnsi="Courier New"/>
          <w:sz w:val="16"/>
        </w:rPr>
        <w:t xml:space="preserve">           + 0.10·S_bi + 0.15·S_ying</w:t>
      </w:r>
    </w:p>
    <w:p>
      <w:pPr>
        <w:spacing w:after="0" w:before="0"/>
        <w:ind w:left="567"/>
      </w:pPr>
      <w:r>
        <w:rPr>
          <w:rFonts w:ascii="Courier New" w:hAnsi="Courier New"/>
          <w:sz w:val="16"/>
        </w:rPr>
      </w:r>
    </w:p>
    <w:p>
      <w:pPr>
        <w:spacing w:after="0" w:before="0"/>
        <w:ind w:left="567"/>
      </w:pPr>
      <w:r>
        <w:rPr>
          <w:rFonts w:ascii="Courier New" w:hAnsi="Courier New"/>
          <w:sz w:val="16"/>
        </w:rPr>
        <w:t>7. 策略修正:</w:t>
      </w:r>
    </w:p>
    <w:p>
      <w:pPr>
        <w:spacing w:after="0" w:before="0"/>
        <w:ind w:left="567"/>
      </w:pPr>
      <w:r>
        <w:rPr>
          <w:rFonts w:ascii="Courier New" w:hAnsi="Courier New"/>
          <w:sz w:val="16"/>
        </w:rPr>
        <w:t xml:space="preserve">   modifier ← 1.0</w:t>
      </w:r>
    </w:p>
    <w:p>
      <w:pPr>
        <w:spacing w:after="0" w:before="0"/>
        <w:ind w:left="567"/>
      </w:pPr>
      <w:r>
        <w:rPr>
          <w:rFonts w:ascii="Courier New" w:hAnsi="Courier New"/>
          <w:sz w:val="16"/>
        </w:rPr>
        <w:t xml:space="preserve">   if S_dw ≤ 0.33:   modifier −= 0.10   // 多爻不当位</w:t>
      </w:r>
    </w:p>
    <w:p>
      <w:pPr>
        <w:spacing w:after="0" w:before="0"/>
        <w:ind w:left="567"/>
      </w:pPr>
      <w:r>
        <w:rPr>
          <w:rFonts w:ascii="Courier New" w:hAnsi="Courier New"/>
          <w:sz w:val="16"/>
        </w:rPr>
        <w:t xml:space="preserve">   elif S_dw ≥ 0.83: modifier += 0.05</w:t>
      </w:r>
    </w:p>
    <w:p>
      <w:pPr>
        <w:spacing w:after="0" w:before="0"/>
        <w:ind w:left="567"/>
      </w:pPr>
      <w:r>
        <w:rPr>
          <w:rFonts w:ascii="Courier New" w:hAnsi="Courier New"/>
          <w:sz w:val="16"/>
        </w:rPr>
        <w:t xml:space="preserve">   if cheng ≥ 2:     modifier −= 0.10   // 多处阴乘阳</w:t>
      </w:r>
    </w:p>
    <w:p>
      <w:pPr>
        <w:spacing w:after="0" w:before="0"/>
        <w:ind w:left="567"/>
      </w:pPr>
      <w:r>
        <w:rPr>
          <w:rFonts w:ascii="Courier New" w:hAnsi="Courier New"/>
          <w:sz w:val="16"/>
        </w:rPr>
        <w:t xml:space="preserve">   if ying == 0:     modifier −= 0.05   // 全无呼应</w:t>
      </w:r>
    </w:p>
    <w:p>
      <w:pPr>
        <w:spacing w:after="0" w:before="0"/>
        <w:ind w:left="567"/>
      </w:pPr>
      <w:r>
        <w:rPr>
          <w:rFonts w:ascii="Courier New" w:hAnsi="Courier New"/>
          <w:sz w:val="16"/>
        </w:rPr>
        <w:t xml:space="preserve">   elif ying == 3:   modifier += 0.05</w:t>
      </w:r>
    </w:p>
    <w:p>
      <w:pPr>
        <w:spacing w:after="0" w:before="0"/>
        <w:ind w:left="567"/>
      </w:pPr>
      <w:r>
        <w:rPr>
          <w:rFonts w:ascii="Courier New" w:hAnsi="Courier New"/>
          <w:sz w:val="16"/>
        </w:rPr>
        <w:t xml:space="preserve">   modifier ← clamp(modifier, 0.75, 1.05)</w:t>
      </w:r>
    </w:p>
    <w:p>
      <w:pPr>
        <w:spacing w:after="0" w:before="0"/>
        <w:ind w:left="567"/>
      </w:pPr>
      <w:r>
        <w:rPr>
          <w:rFonts w:ascii="Courier New" w:hAnsi="Courier New"/>
          <w:sz w:val="16"/>
        </w:rPr>
      </w:r>
    </w:p>
    <w:p>
      <w:pPr>
        <w:spacing w:after="0" w:before="0"/>
        <w:ind w:left="567"/>
      </w:pPr>
      <w:r>
        <w:rPr>
          <w:rFonts w:ascii="Courier New" w:hAnsi="Courier New"/>
          <w:sz w:val="16"/>
        </w:rPr>
        <w:t>return S_yao, modifier</w:t>
      </w:r>
    </w:p>
    <w:p>
      <w:pPr>
        <w:pStyle w:val="Heading2"/>
      </w:pPr>
      <w:r>
        <w:rPr>
          <w:rFonts w:ascii="Times New Roman" w:hAnsi="Times New Roman" w:eastAsia="黑体"/>
          <w:sz w:val="30"/>
        </w:rPr>
        <w:t>3.3 综合评分权重设计</w:t>
      </w:r>
    </w:p>
    <w:p>
      <w:pPr>
        <w:ind w:firstLine="420"/>
      </w:pPr>
      <w:r>
        <w:rPr>
          <w:rFonts w:ascii="Times New Roman" w:hAnsi="Times New Roman" w:eastAsia="宋体"/>
          <w:sz w:val="22"/>
        </w:rPr>
        <w:t>五种关系的评分按权重融合为综合爻位质量：S_yao = 0.40·S_dw + 0.20·S_dz + 0.15·S_cc + 0.10·S_bi + 0.15·S_ying。权重分配反映了易学传统中对各关系的重视程度：当位最重（"天尊地卑，乾坤定矣"——天地设位），得中次之（"中正之道"——二五爻为全卦核心），乘承与应再次，亲比最末。这一权重方案经过了多轮实验验证，在保持易学传统与工程实用之间取得了平衡。</w:t>
      </w:r>
    </w:p>
    <w:p>
      <w:pPr>
        <w:pStyle w:val="Heading2"/>
      </w:pPr>
      <w:r>
        <w:rPr>
          <w:rFonts w:ascii="Times New Roman" w:hAnsi="Times New Roman" w:eastAsia="黑体"/>
          <w:sz w:val="30"/>
        </w:rPr>
        <w:t>3.4 爻位质量→策略修正映射</w:t>
      </w:r>
    </w:p>
    <w:p>
      <w:pPr>
        <w:ind w:firstLine="420"/>
      </w:pPr>
      <w:r>
        <w:rPr>
          <w:rFonts w:ascii="Times New Roman" w:hAnsi="Times New Roman" w:eastAsia="宋体"/>
          <w:sz w:val="22"/>
        </w:rPr>
        <w:t>综合爻位质量 S_yao 进一步通过分段映射转化为策略修正系数和谨慎级别，如表8所示。修正系数直接作用于力预设（乘以原始力值），谨慎级别影响系统的整体执行策略。</w:t>
      </w:r>
    </w:p>
    <w:p>
      <w:pPr>
        <w:jc w:val="center"/>
      </w:pPr>
      <w:r>
        <w:rPr>
          <w:rFonts w:ascii="Times New Roman" w:hAnsi="Times New Roman" w:eastAsia="黑体"/>
          <w:b/>
          <w:sz w:val="18"/>
        </w:rPr>
        <w:t>表8. 爻位质量→谨慎级别→力修正系数映射</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爻位质量 S_yao</w:t>
            </w:r>
          </w:p>
        </w:tc>
        <w:tc>
          <w:tcPr>
            <w:tcW w:type="dxa" w:w="2340"/>
            <w:shd w:fill="1A5276"/>
          </w:tcPr>
          <w:p>
            <w:pPr>
              <w:jc w:val="center"/>
            </w:pPr>
            <w:r/>
            <w:r>
              <w:rPr>
                <w:rFonts w:ascii="Times New Roman" w:hAnsi="Times New Roman" w:eastAsia="黑体"/>
                <w:b/>
                <w:color w:val="FFFFFF"/>
                <w:sz w:val="16"/>
              </w:rPr>
              <w:t>谨慎级别</w:t>
            </w:r>
          </w:p>
        </w:tc>
        <w:tc>
          <w:tcPr>
            <w:tcW w:type="dxa" w:w="2340"/>
            <w:shd w:fill="1A5276"/>
          </w:tcPr>
          <w:p>
            <w:pPr>
              <w:jc w:val="center"/>
            </w:pPr>
            <w:r/>
            <w:r>
              <w:rPr>
                <w:rFonts w:ascii="Times New Roman" w:hAnsi="Times New Roman" w:eastAsia="黑体"/>
                <w:b/>
                <w:color w:val="FFFFFF"/>
                <w:sz w:val="16"/>
              </w:rPr>
              <w:t>力修正系数</w:t>
            </w:r>
          </w:p>
        </w:tc>
        <w:tc>
          <w:tcPr>
            <w:tcW w:type="dxa" w:w="2340"/>
            <w:shd w:fill="1A5276"/>
          </w:tcPr>
          <w:p>
            <w:pPr>
              <w:jc w:val="center"/>
            </w:pPr>
            <w:r/>
            <w:r>
              <w:rPr>
                <w:rFonts w:ascii="Times New Roman" w:hAnsi="Times New Roman" w:eastAsia="黑体"/>
                <w:b/>
                <w:color w:val="FFFFFF"/>
                <w:sz w:val="16"/>
              </w:rPr>
              <w:t>含义</w:t>
            </w:r>
          </w:p>
        </w:tc>
      </w:tr>
      <w:tr>
        <w:tc>
          <w:tcPr>
            <w:tcW w:type="dxa" w:w="2340"/>
            <w:shd w:fill="EBF5FB"/>
          </w:tcPr>
          <w:p>
            <w:pPr>
              <w:jc w:val="center"/>
            </w:pPr>
            <w:r/>
            <w:r>
              <w:rPr>
                <w:rFonts w:ascii="Times New Roman" w:hAnsi="Times New Roman" w:eastAsia="宋体"/>
                <w:sz w:val="16"/>
              </w:rPr>
              <w:t>≥ 0.70</w:t>
            </w:r>
          </w:p>
        </w:tc>
        <w:tc>
          <w:tcPr>
            <w:tcW w:type="dxa" w:w="2340"/>
            <w:shd w:fill="EBF5FB"/>
          </w:tcPr>
          <w:p>
            <w:pPr>
              <w:jc w:val="center"/>
            </w:pPr>
            <w:r/>
            <w:r>
              <w:rPr>
                <w:rFonts w:ascii="Times New Roman" w:hAnsi="Times New Roman" w:eastAsia="宋体"/>
                <w:sz w:val="16"/>
              </w:rPr>
              <w:t>relaxed</w:t>
            </w:r>
          </w:p>
        </w:tc>
        <w:tc>
          <w:tcPr>
            <w:tcW w:type="dxa" w:w="2340"/>
            <w:shd w:fill="EBF5FB"/>
          </w:tcPr>
          <w:p>
            <w:pPr>
              <w:jc w:val="center"/>
            </w:pPr>
            <w:r/>
            <w:r>
              <w:rPr>
                <w:rFonts w:ascii="Times New Roman" w:hAnsi="Times New Roman" w:eastAsia="宋体"/>
                <w:sz w:val="16"/>
              </w:rPr>
              <w:t>1.00 – 1.05</w:t>
            </w:r>
          </w:p>
        </w:tc>
        <w:tc>
          <w:tcPr>
            <w:tcW w:type="dxa" w:w="2340"/>
            <w:shd w:fill="EBF5FB"/>
          </w:tcPr>
          <w:p>
            <w:pPr>
              <w:jc w:val="center"/>
            </w:pPr>
            <w:r/>
            <w:r>
              <w:rPr>
                <w:rFonts w:ascii="Times New Roman" w:hAnsi="Times New Roman" w:eastAsia="宋体"/>
                <w:sz w:val="16"/>
              </w:rPr>
              <w:t>爻位优良，可略增力执行</w:t>
            </w:r>
          </w:p>
        </w:tc>
      </w:tr>
      <w:tr>
        <w:tc>
          <w:tcPr>
            <w:tcW w:type="dxa" w:w="2340"/>
          </w:tcPr>
          <w:p>
            <w:pPr>
              <w:jc w:val="center"/>
            </w:pPr>
            <w:r/>
            <w:r>
              <w:rPr>
                <w:rFonts w:ascii="Times New Roman" w:hAnsi="Times New Roman" w:eastAsia="宋体"/>
                <w:sz w:val="16"/>
              </w:rPr>
              <w:t>0.50 – 0.70</w:t>
            </w:r>
          </w:p>
        </w:tc>
        <w:tc>
          <w:tcPr>
            <w:tcW w:type="dxa" w:w="2340"/>
          </w:tcPr>
          <w:p>
            <w:pPr>
              <w:jc w:val="center"/>
            </w:pPr>
            <w:r/>
            <w:r>
              <w:rPr>
                <w:rFonts w:ascii="Times New Roman" w:hAnsi="Times New Roman" w:eastAsia="宋体"/>
                <w:sz w:val="16"/>
              </w:rPr>
              <w:t>normal</w:t>
            </w:r>
          </w:p>
        </w:tc>
        <w:tc>
          <w:tcPr>
            <w:tcW w:type="dxa" w:w="2340"/>
          </w:tcPr>
          <w:p>
            <w:pPr>
              <w:jc w:val="center"/>
            </w:pPr>
            <w:r/>
            <w:r>
              <w:rPr>
                <w:rFonts w:ascii="Times New Roman" w:hAnsi="Times New Roman" w:eastAsia="宋体"/>
                <w:sz w:val="16"/>
              </w:rPr>
              <w:t>0.95 – 1.00</w:t>
            </w:r>
          </w:p>
        </w:tc>
        <w:tc>
          <w:tcPr>
            <w:tcW w:type="dxa" w:w="2340"/>
          </w:tcPr>
          <w:p>
            <w:pPr>
              <w:jc w:val="center"/>
            </w:pPr>
            <w:r/>
            <w:r>
              <w:rPr>
                <w:rFonts w:ascii="Times New Roman" w:hAnsi="Times New Roman" w:eastAsia="宋体"/>
                <w:sz w:val="16"/>
              </w:rPr>
              <w:t>爻位正常，按标准执行</w:t>
            </w:r>
          </w:p>
        </w:tc>
      </w:tr>
      <w:tr>
        <w:tc>
          <w:tcPr>
            <w:tcW w:type="dxa" w:w="2340"/>
            <w:shd w:fill="EBF5FB"/>
          </w:tcPr>
          <w:p>
            <w:pPr>
              <w:jc w:val="center"/>
            </w:pPr>
            <w:r/>
            <w:r>
              <w:rPr>
                <w:rFonts w:ascii="Times New Roman" w:hAnsi="Times New Roman" w:eastAsia="宋体"/>
                <w:sz w:val="16"/>
              </w:rPr>
              <w:t>0.30 – 0.50</w:t>
            </w:r>
          </w:p>
        </w:tc>
        <w:tc>
          <w:tcPr>
            <w:tcW w:type="dxa" w:w="2340"/>
            <w:shd w:fill="EBF5FB"/>
          </w:tcPr>
          <w:p>
            <w:pPr>
              <w:jc w:val="center"/>
            </w:pPr>
            <w:r/>
            <w:r>
              <w:rPr>
                <w:rFonts w:ascii="Times New Roman" w:hAnsi="Times New Roman" w:eastAsia="宋体"/>
                <w:sz w:val="16"/>
              </w:rPr>
              <w:t>cautious</w:t>
            </w:r>
          </w:p>
        </w:tc>
        <w:tc>
          <w:tcPr>
            <w:tcW w:type="dxa" w:w="2340"/>
            <w:shd w:fill="EBF5FB"/>
          </w:tcPr>
          <w:p>
            <w:pPr>
              <w:jc w:val="center"/>
            </w:pPr>
            <w:r/>
            <w:r>
              <w:rPr>
                <w:rFonts w:ascii="Times New Roman" w:hAnsi="Times New Roman" w:eastAsia="宋体"/>
                <w:sz w:val="16"/>
              </w:rPr>
              <w:t>0.85 – 0.95</w:t>
            </w:r>
          </w:p>
        </w:tc>
        <w:tc>
          <w:tcPr>
            <w:tcW w:type="dxa" w:w="2340"/>
            <w:shd w:fill="EBF5FB"/>
          </w:tcPr>
          <w:p>
            <w:pPr>
              <w:jc w:val="center"/>
            </w:pPr>
            <w:r/>
            <w:r>
              <w:rPr>
                <w:rFonts w:ascii="Times New Roman" w:hAnsi="Times New Roman" w:eastAsia="宋体"/>
                <w:sz w:val="16"/>
              </w:rPr>
              <w:t>爻位偏差，降低力预设</w:t>
            </w:r>
          </w:p>
        </w:tc>
      </w:tr>
      <w:tr>
        <w:tc>
          <w:tcPr>
            <w:tcW w:type="dxa" w:w="2340"/>
          </w:tcPr>
          <w:p>
            <w:pPr>
              <w:jc w:val="center"/>
            </w:pPr>
            <w:r/>
            <w:r>
              <w:rPr>
                <w:rFonts w:ascii="Times New Roman" w:hAnsi="Times New Roman" w:eastAsia="宋体"/>
                <w:sz w:val="16"/>
              </w:rPr>
              <w:t>&lt; 0.30</w:t>
            </w:r>
          </w:p>
        </w:tc>
        <w:tc>
          <w:tcPr>
            <w:tcW w:type="dxa" w:w="2340"/>
          </w:tcPr>
          <w:p>
            <w:pPr>
              <w:jc w:val="center"/>
            </w:pPr>
            <w:r/>
            <w:r>
              <w:rPr>
                <w:rFonts w:ascii="Times New Roman" w:hAnsi="Times New Roman" w:eastAsia="宋体"/>
                <w:sz w:val="16"/>
              </w:rPr>
              <w:t>very_cautious</w:t>
            </w:r>
          </w:p>
        </w:tc>
        <w:tc>
          <w:tcPr>
            <w:tcW w:type="dxa" w:w="2340"/>
          </w:tcPr>
          <w:p>
            <w:pPr>
              <w:jc w:val="center"/>
            </w:pPr>
            <w:r/>
            <w:r>
              <w:rPr>
                <w:rFonts w:ascii="Times New Roman" w:hAnsi="Times New Roman" w:eastAsia="宋体"/>
                <w:sz w:val="16"/>
              </w:rPr>
              <w:t>0.75 – 0.85</w:t>
            </w:r>
          </w:p>
        </w:tc>
        <w:tc>
          <w:tcPr>
            <w:tcW w:type="dxa" w:w="2340"/>
          </w:tcPr>
          <w:p>
            <w:pPr>
              <w:jc w:val="center"/>
            </w:pPr>
            <w:r/>
            <w:r>
              <w:rPr>
                <w:rFonts w:ascii="Times New Roman" w:hAnsi="Times New Roman" w:eastAsia="宋体"/>
                <w:sz w:val="16"/>
              </w:rPr>
              <w:t>爻位严重失序，大幅降力</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纯CPU推理（无GPU需求），单次推理平均1.7ms。操作系统 Ubuntu 26.04。</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有预设的物理参数（质量、摩擦系数、几何形状等），每个实例在模板基础上叠加±5%的均匀噪声以模拟真实世界的不确定性。</w:t>
      </w:r>
    </w:p>
    <w:p>
      <w:pPr>
        <w:ind w:firstLine="420"/>
      </w:pPr>
      <w:r>
        <w:rPr>
          <w:rFonts w:ascii="Times New Roman" w:hAnsi="Times New Roman" w:eastAsia="宋体"/>
          <w:sz w:val="22"/>
        </w:rPr>
        <w:t>物体类型包括：球体（易滚动）、立方体（稳定规则）、圆柱体（姿态依赖滚动倾向）、碗（有凹陷、易碎）、瓶子（细长、脆弱）、盘子（扁平、大面积）、不规则石块（随机几何、高重量）、花瓶（细颈、极脆弱）。每个物体实例包含13维物理特征，所有特征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根据物理常识包含10-16种策略类型）和"明显错误策略集"（如球体不应使用静态抓取、易碎品不应使用强力抓取）。系统输出的策略类型若在合理集中计为"合理"，在错误集中计为"错误"，其余计为"中性"。评估不涉及实际物理抓取，仅评估推理输出的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验证基于物体质心的爻模板优化方法能否显著提升零样本策略合理率。</w:t>
      </w:r>
    </w:p>
    <w:p>
      <w:pPr>
        <w:ind w:left="420"/>
      </w:pPr>
      <w:r>
        <w:rPr>
          <w:rFonts w:ascii="Times New Roman" w:hAnsi="Times New Roman" w:eastAsia="宋体"/>
          <w:b/>
          <w:sz w:val="22"/>
        </w:rPr>
        <w:t>实验配置：</w:t>
      </w:r>
      <w:r>
        <w:rPr>
          <w:rFonts w:ascii="Times New Roman" w:hAnsi="Times New Roman" w:eastAsia="宋体"/>
          <w:sz w:val="22"/>
        </w:rPr>
        <w:t>两组对比：（A）优化前：20/64卦定义，爻模板值为人工直觉赋值；（B）优化后：42/64卦定义，爻模板值基于8类物体六爻向量质心重算。每组在300个随机生成物体上评估，固定随机种子确保可复现。</w:t>
      </w:r>
    </w:p>
    <w:p>
      <w:pPr>
        <w:ind w:left="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步骤1（采集质心）：生成8类物体各50+实例，经L1→L2推理链输出六爻向量，计算每类均值得到质心 c_t ∈ [0,1]⁶（见表5）。</w:t>
      </w:r>
    </w:p>
    <w:p>
      <w:pPr>
        <w:ind w:left="850"/>
      </w:pPr>
      <w:r>
        <w:rPr>
          <w:rFonts w:ascii="Times New Roman" w:hAnsi="Times New Roman" w:eastAsia="宋体"/>
          <w:sz w:val="22"/>
        </w:rPr>
        <w:t>步骤2（卦物映射）：将42个卦象按其卦辞语义和策略类型，指定"应服务"的物体类型集合（如震为雷→{球体, 圆柱体}）。</w:t>
      </w:r>
    </w:p>
    <w:p>
      <w:pPr>
        <w:ind w:left="850"/>
      </w:pPr>
      <w:r>
        <w:rPr>
          <w:rFonts w:ascii="Times New Roman" w:hAnsi="Times New Roman" w:eastAsia="宋体"/>
          <w:sz w:val="22"/>
        </w:rPr>
        <w:t>步骤3（模板重算）：对每个卦h，新模板 p_h = mean(c_t for t in T_h) + ε_h，ε_h为基于卦名哈希的确定性微小扰动。</w:t>
      </w:r>
    </w:p>
    <w:p>
      <w:pPr>
        <w:ind w:left="850"/>
      </w:pPr>
      <w:r>
        <w:rPr>
          <w:rFonts w:ascii="Times New Roman" w:hAnsi="Times New Roman" w:eastAsia="宋体"/>
          <w:sz w:val="22"/>
        </w:rPr>
        <w:t>步骤4（问题卦修复）：火水未济卦模板从通用值[0.20,0.70,0.30,0.80,0.30,0.70]修正为极端值[0.07,0.88,0.11,0.07,0.06,0.11]。</w:t>
      </w:r>
    </w:p>
    <w:p>
      <w:pPr>
        <w:ind w:left="850"/>
      </w:pPr>
      <w:r>
        <w:rPr>
          <w:rFonts w:ascii="Times New Roman" w:hAnsi="Times New Roman" w:eastAsia="宋体"/>
          <w:sz w:val="22"/>
        </w:rPr>
        <w:t>步骤5（评估）：在300物体上运行完整推理链，统计合理率和错误率。</w:t>
      </w:r>
    </w:p>
    <w:p>
      <w:pPr>
        <w:ind w:left="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优化后(42卦)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90.0%</w:t>
            </w:r>
          </w:p>
        </w:tc>
        <w:tc>
          <w:tcPr>
            <w:tcW w:type="dxa" w:w="2340"/>
            <w:shd w:fill="EBF5FB"/>
          </w:tcPr>
          <w:p>
            <w:pPr>
              <w:jc w:val="center"/>
            </w:pPr>
            <w:r/>
            <w:r>
              <w:rPr>
                <w:rFonts w:ascii="Times New Roman" w:hAnsi="Times New Roman" w:eastAsia="宋体"/>
                <w:sz w:val="16"/>
              </w:rPr>
              <w:t>+42.0%</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r>
        <w:tc>
          <w:tcPr>
            <w:tcW w:type="dxa" w:w="2340"/>
            <w:shd w:fill="EBF5FB"/>
          </w:tcPr>
          <w:p>
            <w:pPr>
              <w:jc w:val="center"/>
            </w:pPr>
            <w:r/>
            <w:r>
              <w:rPr>
                <w:rFonts w:ascii="Times New Roman" w:hAnsi="Times New Roman" w:eastAsia="宋体"/>
                <w:sz w:val="16"/>
              </w:rPr>
              <w:t>推理速度</w:t>
            </w:r>
          </w:p>
        </w:tc>
        <w:tc>
          <w:tcPr>
            <w:tcW w:type="dxa" w:w="2340"/>
            <w:shd w:fill="EBF5FB"/>
          </w:tcPr>
          <w:p>
            <w:pPr>
              <w:jc w:val="center"/>
            </w:pPr>
            <w:r/>
            <w:r>
              <w:rPr>
                <w:rFonts w:ascii="Times New Roman" w:hAnsi="Times New Roman" w:eastAsia="宋体"/>
                <w:sz w:val="16"/>
              </w:rPr>
              <w:t>0.5ms</w:t>
            </w:r>
          </w:p>
        </w:tc>
        <w:tc>
          <w:tcPr>
            <w:tcW w:type="dxa" w:w="2340"/>
            <w:shd w:fill="EBF5FB"/>
          </w:tcPr>
          <w:p>
            <w:pPr>
              <w:jc w:val="center"/>
            </w:pPr>
            <w:r/>
            <w:r>
              <w:rPr>
                <w:rFonts w:ascii="Times New Roman" w:hAnsi="Times New Roman" w:eastAsia="宋体"/>
                <w:sz w:val="16"/>
              </w:rPr>
              <w:t>1.7ms</w:t>
            </w:r>
          </w:p>
        </w:tc>
        <w:tc>
          <w:tcPr>
            <w:tcW w:type="dxa" w:w="2340"/>
            <w:shd w:fill="EBF5FB"/>
          </w:tcPr>
          <w:p>
            <w:pPr>
              <w:jc w:val="center"/>
            </w:pPr>
            <w:r/>
            <w:r>
              <w:rPr>
                <w:rFonts w:ascii="Times New Roman" w:hAnsi="Times New Roman" w:eastAsia="宋体"/>
                <w:sz w:val="16"/>
              </w:rPr>
              <w:t>—</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各物体类型零样本合理率：优化前(浅蓝) vs 优化后(深蓝)柱状对比图</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97.1%</w:t>
            </w:r>
          </w:p>
        </w:tc>
        <w:tc>
          <w:tcPr>
            <w:tcW w:type="dxa" w:w="1560"/>
          </w:tcPr>
          <w:p>
            <w:pPr>
              <w:jc w:val="center"/>
            </w:pPr>
            <w:r/>
            <w:r>
              <w:rPr>
                <w:rFonts w:ascii="Times New Roman" w:hAnsi="Times New Roman" w:eastAsia="宋体"/>
                <w:sz w:val="16"/>
              </w:rPr>
              <w:t>+47.1%</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95.0%</w:t>
            </w:r>
          </w:p>
        </w:tc>
        <w:tc>
          <w:tcPr>
            <w:tcW w:type="dxa" w:w="1560"/>
            <w:shd w:fill="EBF5FB"/>
          </w:tcPr>
          <w:p>
            <w:pPr>
              <w:jc w:val="center"/>
            </w:pPr>
            <w:r/>
            <w:r>
              <w:rPr>
                <w:rFonts w:ascii="Times New Roman" w:hAnsi="Times New Roman" w:eastAsia="宋体"/>
                <w:sz w:val="16"/>
              </w:rPr>
              <w:t>+37.9%</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94.7%</w:t>
            </w:r>
          </w:p>
        </w:tc>
        <w:tc>
          <w:tcPr>
            <w:tcW w:type="dxa" w:w="1560"/>
          </w:tcPr>
          <w:p>
            <w:pPr>
              <w:jc w:val="center"/>
            </w:pPr>
            <w:r/>
            <w:r>
              <w:rPr>
                <w:rFonts w:ascii="Times New Roman" w:hAnsi="Times New Roman" w:eastAsia="宋体"/>
                <w:sz w:val="16"/>
              </w:rPr>
              <w:t>+61.4%</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91.7%</w:t>
            </w:r>
          </w:p>
        </w:tc>
        <w:tc>
          <w:tcPr>
            <w:tcW w:type="dxa" w:w="1560"/>
          </w:tcPr>
          <w:p>
            <w:pPr>
              <w:jc w:val="center"/>
            </w:pPr>
            <w:r/>
            <w:r>
              <w:rPr>
                <w:rFonts w:ascii="Times New Roman" w:hAnsi="Times New Roman" w:eastAsia="宋体"/>
                <w:sz w:val="16"/>
              </w:rPr>
              <w:t>−8.3%</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77.4%</w:t>
            </w:r>
          </w:p>
        </w:tc>
        <w:tc>
          <w:tcPr>
            <w:tcW w:type="dxa" w:w="1560"/>
          </w:tcPr>
          <w:p>
            <w:pPr>
              <w:jc w:val="center"/>
            </w:pPr>
            <w:r/>
            <w:r>
              <w:rPr>
                <w:rFonts w:ascii="Times New Roman" w:hAnsi="Times New Roman" w:eastAsia="宋体"/>
                <w:sz w:val="16"/>
              </w:rPr>
              <w:t>+60.7%</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卦象命中分布变化：优化前(红)火水未济独占，优化后(蓝)分布均匀化</w:t>
      </w:r>
    </w:p>
    <w:p>
      <w:pPr>
        <w:pStyle w:val="Heading3"/>
      </w:pPr>
      <w:r>
        <w:rPr>
          <w:rFonts w:ascii="Times New Roman" w:hAnsi="Times New Roman" w:eastAsia="黑体"/>
          <w:sz w:val="24"/>
        </w:rPr>
        <w:t>4.2.1 实验一结果分析</w:t>
      </w:r>
    </w:p>
    <w:p>
      <w:pPr>
        <w:ind w:firstLine="420"/>
      </w:pPr>
      <w:r>
        <w:rPr>
          <w:rFonts w:ascii="Times New Roman" w:hAnsi="Times New Roman" w:eastAsia="宋体"/>
          <w:sz w:val="22"/>
        </w:rPr>
        <w:t>优化效果极其显著：总体合理率从48%跃升至90%（+42个百分点），错误率从2%降至0%。从三个维度分析贡献：</w:t>
      </w:r>
    </w:p>
    <w:p>
      <w:pPr>
        <w:ind w:firstLine="420"/>
      </w:pPr>
      <w:r>
        <w:rPr>
          <w:rFonts w:ascii="Times New Roman" w:hAnsi="Times New Roman" w:eastAsia="宋体"/>
          <w:sz w:val="22"/>
        </w:rPr>
        <w:t>（1）补全卦象（20→42卦）：新增的22个核心卦填补了爻空间中的重要"真空区域"。例如泽雷随（跟随抓取）为球体和圆柱体提供了比震为雷更精细的策略选择；火泽睽（异形适配）为不规则石块提供了专门化的抓取方案。</w:t>
      </w:r>
    </w:p>
    <w:p>
      <w:pPr>
        <w:ind w:firstLine="420"/>
      </w:pPr>
      <w:r>
        <w:rPr>
          <w:rFonts w:ascii="Times New Roman" w:hAnsi="Times New Roman" w:eastAsia="宋体"/>
          <w:sz w:val="22"/>
        </w:rPr>
        <w:t>（2）爻模板质心对齐：球体从28.6%→93.8%（+65.2%）是最典型案例。优化前球体的爻向量因"低稳定+高滚动"的分布与所有卦模板距离较远而被匹配到未济卦（流产策略）。优化后震为雷、泽雷随、雷地豫等动态卦的模板被拉近至球体质心附近，实现了精准匹配。</w:t>
      </w:r>
    </w:p>
    <w:p>
      <w:pPr>
        <w:ind w:firstLine="420"/>
      </w:pPr>
      <w:r>
        <w:rPr>
          <w:rFonts w:ascii="Times New Roman" w:hAnsi="Times New Roman" w:eastAsia="宋体"/>
          <w:sz w:val="22"/>
        </w:rPr>
        <w:t>（3）未济卦极端化：在初始50物体测试中，火水未济卦独占26%命中率，成为事实上的"兜底卦"。通过将其模板极端化，未济卦仅在真正难以判断的边界情况被激活，大幅减少了"假兜底"导致的合理率损失。</w:t>
      </w:r>
    </w:p>
    <w:p>
      <w:pPr>
        <w:ind w:firstLine="420"/>
      </w:pPr>
      <w:r>
        <w:rPr>
          <w:rFonts w:ascii="Times New Roman" w:hAnsi="Times New Roman" w:eastAsia="宋体"/>
          <w:sz w:val="22"/>
        </w:rPr>
        <w:t>最关键的方法论启示是：三个步骤的性能贡献是可以独立验证和精确归因的——这与深度学习模型中"训练数据多了、模型大了、性能好了"的黑箱式改进形成根本性对比。</w:t>
      </w:r>
    </w:p>
    <w:p>
      <w:r>
        <w:br w:type="page"/>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验证"乘承比应当位得中"五种爻位关系运算能否有效识别策略执行质量，并产生合理的力修正建议。</w:t>
      </w:r>
    </w:p>
    <w:p>
      <w:pPr>
        <w:ind w:left="420"/>
      </w:pPr>
      <w:r>
        <w:rPr>
          <w:rFonts w:ascii="Times New Roman" w:hAnsi="Times New Roman" w:eastAsia="宋体"/>
          <w:b/>
          <w:sz w:val="22"/>
        </w:rPr>
        <w:t>实验配置：</w:t>
      </w:r>
      <w:r>
        <w:rPr>
          <w:rFonts w:ascii="Times New Roman" w:hAnsi="Times New Roman" w:eastAsia="宋体"/>
          <w:sz w:val="22"/>
        </w:rPr>
        <w:t>在爻模板优化后的系统上（90.0%基线），对300物体推理链的L3+爻位关系层进行独立统计分析。评估指标：爻位质量分布、谨慎级别分布、力修正系数统计、典型案例的爻位构成与修正建议的语义合理性。</w:t>
      </w:r>
    </w:p>
    <w:p>
      <w:pPr>
        <w:ind w:left="420"/>
      </w:pPr>
      <w:r>
        <w:rPr>
          <w:rFonts w:ascii="Times New Roman" w:hAnsi="Times New Roman" w:eastAsia="宋体"/>
          <w:b/>
          <w:sz w:val="22"/>
        </w:rPr>
        <w:t>实验步骤：</w:t>
      </w:r>
      <w:r>
        <w:rPr>
          <w:rFonts w:ascii="Times New Roman" w:hAnsi="Times New Roman" w:eastAsia="宋体"/>
          <w:sz w:val="22"/>
        </w:rPr>
      </w:r>
    </w:p>
    <w:p>
      <w:pPr>
        <w:ind w:left="850"/>
      </w:pPr>
      <w:r>
        <w:rPr>
          <w:rFonts w:ascii="Times New Roman" w:hAnsi="Times New Roman" w:eastAsia="宋体"/>
          <w:sz w:val="22"/>
        </w:rPr>
        <w:t>步骤1（推理采集）：对300个随机物体实例，运行完整L1→L2→L3→L3+推理链，记录每一步的中间状态。</w:t>
      </w:r>
    </w:p>
    <w:p>
      <w:pPr>
        <w:ind w:left="850"/>
      </w:pPr>
      <w:r>
        <w:rPr>
          <w:rFonts w:ascii="Times New Roman" w:hAnsi="Times New Roman" w:eastAsia="宋体"/>
          <w:sz w:val="22"/>
        </w:rPr>
        <w:t>步骤2（关系统计）：统计五个子评分（S_dw, S_dz, S_cc, S_bi, S_ying）和综合评分S_yao的分布特征。</w:t>
      </w:r>
    </w:p>
    <w:p>
      <w:pPr>
        <w:ind w:left="850"/>
      </w:pPr>
      <w:r>
        <w:rPr>
          <w:rFonts w:ascii="Times New Roman" w:hAnsi="Times New Roman" w:eastAsia="宋体"/>
          <w:sz w:val="22"/>
        </w:rPr>
        <w:t>步骤3（修正验证）：记录力修正系数modifier的均值和分布，验证修正方向是否符合物理直觉。</w:t>
      </w:r>
    </w:p>
    <w:p>
      <w:pPr>
        <w:ind w:left="850"/>
      </w:pPr>
      <w:r>
        <w:rPr>
          <w:rFonts w:ascii="Times New Roman" w:hAnsi="Times New Roman" w:eastAsia="宋体"/>
          <w:sz w:val="22"/>
        </w:rPr>
        <w:t>步骤4（案例分析）：选取爻位质量最高、中等、最低的典型案例，详细分析爻位构成和修正建议的合理性。</w:t>
      </w:r>
    </w:p>
    <w:p>
      <w:pPr>
        <w:ind w:left="420"/>
      </w:pPr>
      <w:r>
        <w:rPr>
          <w:rFonts w:ascii="Times New Roman" w:hAnsi="Times New Roman" w:eastAsia="宋体"/>
          <w:b/>
          <w:sz w:val="22"/>
        </w:rPr>
        <w:t>实验结果：</w:t>
      </w:r>
      <w:r>
        <w:rPr>
          <w:rFonts w:ascii="Times New Roman" w:hAnsi="Times New Roman" w:eastAsia="宋体"/>
          <w:sz w:val="22"/>
        </w:rPr>
      </w:r>
    </w:p>
    <w:p>
      <w:pPr>
        <w:jc w:val="center"/>
      </w:pPr>
      <w:r>
        <w:rPr>
          <w:rFonts w:ascii="Times New Roman" w:hAnsi="Times New Roman" w:eastAsia="黑体"/>
          <w:b/>
          <w:sz w:val="18"/>
        </w:rPr>
        <w:t>表11. 爻位关系运算全局统计（n=300物体）</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爻位质量标准差</w:t>
            </w:r>
          </w:p>
        </w:tc>
        <w:tc>
          <w:tcPr>
            <w:tcW w:type="dxa" w:w="3120"/>
          </w:tcPr>
          <w:p>
            <w:pPr>
              <w:jc w:val="center"/>
            </w:pPr>
            <w:r/>
            <w:r>
              <w:rPr>
                <w:rFonts w:ascii="Times New Roman" w:hAnsi="Times New Roman" w:eastAsia="宋体"/>
                <w:sz w:val="16"/>
              </w:rPr>
              <w:t>0.15</w:t>
            </w:r>
          </w:p>
        </w:tc>
        <w:tc>
          <w:tcPr>
            <w:tcW w:type="dxa" w:w="3120"/>
          </w:tcPr>
          <w:p>
            <w:pPr>
              <w:jc w:val="center"/>
            </w:pPr>
            <w:r/>
            <w:r>
              <w:rPr>
                <w:rFonts w:ascii="Times New Roman" w:hAnsi="Times New Roman" w:eastAsia="宋体"/>
                <w:sz w:val="16"/>
              </w:rPr>
              <w:t>中等离散度，区分度良好</w:t>
            </w:r>
          </w:p>
        </w:tc>
      </w:tr>
      <w:tr>
        <w:tc>
          <w:tcPr>
            <w:tcW w:type="dxa" w:w="3120"/>
            <w:shd w:fill="EBF5FB"/>
          </w:tcPr>
          <w:p>
            <w:pPr>
              <w:jc w:val="center"/>
            </w:pPr>
            <w:r/>
            <w:r>
              <w:rPr>
                <w:rFonts w:ascii="Times New Roman" w:hAnsi="Times New Roman" w:eastAsia="宋体"/>
                <w:sz w:val="16"/>
              </w:rPr>
              <w:t>力修正系数均值</w:t>
            </w:r>
          </w:p>
        </w:tc>
        <w:tc>
          <w:tcPr>
            <w:tcW w:type="dxa" w:w="3120"/>
            <w:shd w:fill="EBF5FB"/>
          </w:tcPr>
          <w:p>
            <w:pPr>
              <w:jc w:val="center"/>
            </w:pPr>
            <w:r/>
            <w:r>
              <w:rPr>
                <w:rFonts w:ascii="Times New Roman" w:hAnsi="Times New Roman" w:eastAsia="宋体"/>
                <w:sz w:val="16"/>
              </w:rPr>
              <w:t>0.94</w:t>
            </w:r>
          </w:p>
        </w:tc>
        <w:tc>
          <w:tcPr>
            <w:tcW w:type="dxa" w:w="3120"/>
            <w:shd w:fill="EBF5FB"/>
          </w:tcPr>
          <w:p>
            <w:pPr>
              <w:jc w:val="center"/>
            </w:pPr>
            <w:r/>
            <w:r>
              <w:rPr>
                <w:rFonts w:ascii="Times New Roman" w:hAnsi="Times New Roman" w:eastAsia="宋体"/>
                <w:sz w:val="16"/>
              </w:rPr>
              <w:t>多数情境力预设小幅下调5-10%</w:t>
            </w:r>
          </w:p>
        </w:tc>
      </w:tr>
      <w:tr>
        <w:tc>
          <w:tcPr>
            <w:tcW w:type="dxa" w:w="3120"/>
          </w:tcPr>
          <w:p>
            <w:pPr>
              <w:jc w:val="center"/>
            </w:pPr>
            <w:r/>
            <w:r>
              <w:rPr>
                <w:rFonts w:ascii="Times New Roman" w:hAnsi="Times New Roman" w:eastAsia="宋体"/>
                <w:sz w:val="16"/>
              </w:rPr>
              <w:t>力修正系数范围</w:t>
            </w:r>
          </w:p>
        </w:tc>
        <w:tc>
          <w:tcPr>
            <w:tcW w:type="dxa" w:w="3120"/>
          </w:tcPr>
          <w:p>
            <w:pPr>
              <w:jc w:val="center"/>
            </w:pPr>
            <w:r/>
            <w:r>
              <w:rPr>
                <w:rFonts w:ascii="Times New Roman" w:hAnsi="Times New Roman" w:eastAsia="宋体"/>
                <w:sz w:val="16"/>
              </w:rPr>
              <w:t>[0.80, 1.05]</w:t>
            </w:r>
          </w:p>
        </w:tc>
        <w:tc>
          <w:tcPr>
            <w:tcW w:type="dxa" w:w="3120"/>
          </w:tcPr>
          <w:p>
            <w:pPr>
              <w:jc w:val="center"/>
            </w:pPr>
            <w:r/>
            <w:r>
              <w:rPr>
                <w:rFonts w:ascii="Times New Roman" w:hAnsi="Times New Roman" w:eastAsia="宋体"/>
                <w:sz w:val="16"/>
              </w:rPr>
              <w:t>对应爻位质量从极差到优良</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超半数情境被识别为需谨慎执行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爻位质量分布直方图：红色=低质量(&lt;0.4)，黄色=中等(0.4-0.7)，绿色=高质量(&gt;0.7)</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1A5276"/>
          </w:tcPr>
          <w:p>
            <w:pPr>
              <w:jc w:val="center"/>
            </w:pPr>
            <w:r/>
            <w:r>
              <w:rPr>
                <w:rFonts w:ascii="Times New Roman" w:hAnsi="Times New Roman" w:eastAsia="黑体"/>
                <w:b/>
                <w:color w:val="FFFFFF"/>
                <w:sz w:val="16"/>
              </w:rPr>
              <w:t>案例</w:t>
            </w:r>
          </w:p>
        </w:tc>
        <w:tc>
          <w:tcPr>
            <w:tcW w:type="dxa" w:w="936"/>
            <w:shd w:fill="1A5276"/>
          </w:tcPr>
          <w:p>
            <w:pPr>
              <w:jc w:val="center"/>
            </w:pPr>
            <w:r/>
            <w:r>
              <w:rPr>
                <w:rFonts w:ascii="Times New Roman" w:hAnsi="Times New Roman" w:eastAsia="黑体"/>
                <w:b/>
                <w:color w:val="FFFFFF"/>
                <w:sz w:val="16"/>
              </w:rPr>
              <w:t>物体</w:t>
            </w:r>
          </w:p>
        </w:tc>
        <w:tc>
          <w:tcPr>
            <w:tcW w:type="dxa" w:w="936"/>
            <w:shd w:fill="1A5276"/>
          </w:tcPr>
          <w:p>
            <w:pPr>
              <w:jc w:val="center"/>
            </w:pPr>
            <w:r/>
            <w:r>
              <w:rPr>
                <w:rFonts w:ascii="Times New Roman" w:hAnsi="Times New Roman" w:eastAsia="黑体"/>
                <w:b/>
                <w:color w:val="FFFFFF"/>
                <w:sz w:val="16"/>
              </w:rPr>
              <w:t>当位</w:t>
            </w:r>
          </w:p>
        </w:tc>
        <w:tc>
          <w:tcPr>
            <w:tcW w:type="dxa" w:w="936"/>
            <w:shd w:fill="1A5276"/>
          </w:tcPr>
          <w:p>
            <w:pPr>
              <w:jc w:val="center"/>
            </w:pPr>
            <w:r/>
            <w:r>
              <w:rPr>
                <w:rFonts w:ascii="Times New Roman" w:hAnsi="Times New Roman" w:eastAsia="黑体"/>
                <w:b/>
                <w:color w:val="FFFFFF"/>
                <w:sz w:val="16"/>
              </w:rPr>
              <w:t>得中</w:t>
            </w:r>
          </w:p>
        </w:tc>
        <w:tc>
          <w:tcPr>
            <w:tcW w:type="dxa" w:w="936"/>
            <w:shd w:fill="1A5276"/>
          </w:tcPr>
          <w:p>
            <w:pPr>
              <w:jc w:val="center"/>
            </w:pPr>
            <w:r/>
            <w:r>
              <w:rPr>
                <w:rFonts w:ascii="Times New Roman" w:hAnsi="Times New Roman" w:eastAsia="黑体"/>
                <w:b/>
                <w:color w:val="FFFFFF"/>
                <w:sz w:val="16"/>
              </w:rPr>
              <w:t>乘</w:t>
            </w:r>
          </w:p>
        </w:tc>
        <w:tc>
          <w:tcPr>
            <w:tcW w:type="dxa" w:w="936"/>
            <w:shd w:fill="1A5276"/>
          </w:tcPr>
          <w:p>
            <w:pPr>
              <w:jc w:val="center"/>
            </w:pPr>
            <w:r/>
            <w:r>
              <w:rPr>
                <w:rFonts w:ascii="Times New Roman" w:hAnsi="Times New Roman" w:eastAsia="黑体"/>
                <w:b/>
                <w:color w:val="FFFFFF"/>
                <w:sz w:val="16"/>
              </w:rPr>
              <w:t>亲比</w:t>
            </w:r>
          </w:p>
        </w:tc>
        <w:tc>
          <w:tcPr>
            <w:tcW w:type="dxa" w:w="936"/>
            <w:shd w:fill="1A5276"/>
          </w:tcPr>
          <w:p>
            <w:pPr>
              <w:jc w:val="center"/>
            </w:pPr>
            <w:r/>
            <w:r>
              <w:rPr>
                <w:rFonts w:ascii="Times New Roman" w:hAnsi="Times New Roman" w:eastAsia="黑体"/>
                <w:b/>
                <w:color w:val="FFFFFF"/>
                <w:sz w:val="16"/>
              </w:rPr>
              <w:t>应</w:t>
            </w:r>
          </w:p>
        </w:tc>
        <w:tc>
          <w:tcPr>
            <w:tcW w:type="dxa" w:w="936"/>
            <w:shd w:fill="1A5276"/>
          </w:tcPr>
          <w:p>
            <w:pPr>
              <w:jc w:val="center"/>
            </w:pPr>
            <w:r/>
            <w:r>
              <w:rPr>
                <w:rFonts w:ascii="Times New Roman" w:hAnsi="Times New Roman" w:eastAsia="黑体"/>
                <w:b/>
                <w:color w:val="FFFFFF"/>
                <w:sz w:val="16"/>
              </w:rPr>
              <w:t>S_yao</w:t>
            </w:r>
          </w:p>
        </w:tc>
        <w:tc>
          <w:tcPr>
            <w:tcW w:type="dxa" w:w="936"/>
            <w:shd w:fill="1A5276"/>
          </w:tcPr>
          <w:p>
            <w:pPr>
              <w:jc w:val="center"/>
            </w:pPr>
            <w:r/>
            <w:r>
              <w:rPr>
                <w:rFonts w:ascii="Times New Roman" w:hAnsi="Times New Roman" w:eastAsia="黑体"/>
                <w:b/>
                <w:color w:val="FFFFFF"/>
                <w:sz w:val="16"/>
              </w:rPr>
              <w:t>力修正</w:t>
            </w:r>
          </w:p>
        </w:tc>
        <w:tc>
          <w:tcPr>
            <w:tcW w:type="dxa" w:w="936"/>
            <w:shd w:fill="1A5276"/>
          </w:tcPr>
          <w:p>
            <w:pPr>
              <w:jc w:val="center"/>
            </w:pPr>
            <w:r/>
            <w:r>
              <w:rPr>
                <w:rFonts w:ascii="Times New Roman" w:hAnsi="Times New Roman" w:eastAsia="黑体"/>
                <w:b/>
                <w:color w:val="FFFFFF"/>
                <w:sz w:val="16"/>
              </w:rPr>
              <w:t>谨慎</w:t>
            </w:r>
          </w:p>
        </w:tc>
      </w:tr>
      <w:tr>
        <w:tc>
          <w:tcPr>
            <w:tcW w:type="dxa" w:w="936"/>
            <w:shd w:fill="EBF5FB"/>
          </w:tcPr>
          <w:p>
            <w:pPr>
              <w:jc w:val="center"/>
            </w:pPr>
            <w:r/>
            <w:r>
              <w:rPr>
                <w:rFonts w:ascii="Times New Roman" w:hAnsi="Times New Roman" w:eastAsia="宋体"/>
                <w:sz w:val="16"/>
              </w:rPr>
              <w:t>最佳</w:t>
            </w:r>
          </w:p>
        </w:tc>
        <w:tc>
          <w:tcPr>
            <w:tcW w:type="dxa" w:w="936"/>
            <w:shd w:fill="EBF5FB"/>
          </w:tcPr>
          <w:p>
            <w:pPr>
              <w:jc w:val="center"/>
            </w:pPr>
            <w:r/>
            <w:r>
              <w:rPr>
                <w:rFonts w:ascii="Times New Roman" w:hAnsi="Times New Roman" w:eastAsia="宋体"/>
                <w:sz w:val="16"/>
              </w:rPr>
              <w:t>盘子</w:t>
            </w:r>
          </w:p>
        </w:tc>
        <w:tc>
          <w:tcPr>
            <w:tcW w:type="dxa" w:w="936"/>
            <w:shd w:fill="EBF5FB"/>
          </w:tcPr>
          <w:p>
            <w:pPr>
              <w:jc w:val="center"/>
            </w:pPr>
            <w:r/>
            <w:r>
              <w:rPr>
                <w:rFonts w:ascii="Times New Roman" w:hAnsi="Times New Roman" w:eastAsia="宋体"/>
                <w:sz w:val="16"/>
              </w:rPr>
              <w:t>3/6</w:t>
            </w:r>
          </w:p>
        </w:tc>
        <w:tc>
          <w:tcPr>
            <w:tcW w:type="dxa" w:w="936"/>
            <w:shd w:fill="EBF5FB"/>
          </w:tcPr>
          <w:p>
            <w:pPr>
              <w:jc w:val="center"/>
            </w:pPr>
            <w:r/>
            <w:r>
              <w:rPr>
                <w:rFonts w:ascii="Times New Roman" w:hAnsi="Times New Roman" w:eastAsia="宋体"/>
                <w:sz w:val="16"/>
              </w:rPr>
              <w:t>六二九五</w:t>
            </w:r>
          </w:p>
        </w:tc>
        <w:tc>
          <w:tcPr>
            <w:tcW w:type="dxa" w:w="936"/>
            <w:shd w:fill="EBF5FB"/>
          </w:tcPr>
          <w:p>
            <w:pPr>
              <w:jc w:val="center"/>
            </w:pPr>
            <w:r/>
            <w:r>
              <w:rPr>
                <w:rFonts w:ascii="Times New Roman" w:hAnsi="Times New Roman" w:eastAsia="宋体"/>
                <w:sz w:val="16"/>
              </w:rPr>
              <w:t>1处</w:t>
            </w:r>
          </w:p>
        </w:tc>
        <w:tc>
          <w:tcPr>
            <w:tcW w:type="dxa" w:w="936"/>
            <w:shd w:fill="EBF5FB"/>
          </w:tcPr>
          <w:p>
            <w:pPr>
              <w:jc w:val="center"/>
            </w:pPr>
            <w:r/>
            <w:r>
              <w:rPr>
                <w:rFonts w:ascii="Times New Roman" w:hAnsi="Times New Roman" w:eastAsia="宋体"/>
                <w:sz w:val="16"/>
              </w:rPr>
              <w:t>4/5</w:t>
            </w:r>
          </w:p>
        </w:tc>
        <w:tc>
          <w:tcPr>
            <w:tcW w:type="dxa" w:w="936"/>
            <w:shd w:fill="EBF5FB"/>
          </w:tcPr>
          <w:p>
            <w:pPr>
              <w:jc w:val="center"/>
            </w:pPr>
            <w:r/>
            <w:r>
              <w:rPr>
                <w:rFonts w:ascii="Times New Roman" w:hAnsi="Times New Roman" w:eastAsia="宋体"/>
                <w:sz w:val="16"/>
              </w:rPr>
              <w:t>2/3</w:t>
            </w:r>
          </w:p>
        </w:tc>
        <w:tc>
          <w:tcPr>
            <w:tcW w:type="dxa" w:w="936"/>
            <w:shd w:fill="EBF5FB"/>
          </w:tcPr>
          <w:p>
            <w:pPr>
              <w:jc w:val="center"/>
            </w:pPr>
            <w:r/>
            <w:r>
              <w:rPr>
                <w:rFonts w:ascii="Times New Roman" w:hAnsi="Times New Roman" w:eastAsia="宋体"/>
                <w:sz w:val="16"/>
              </w:rPr>
              <w:t>0.64</w:t>
            </w:r>
          </w:p>
        </w:tc>
        <w:tc>
          <w:tcPr>
            <w:tcW w:type="dxa" w:w="936"/>
            <w:shd w:fill="EBF5FB"/>
          </w:tcPr>
          <w:p>
            <w:pPr>
              <w:jc w:val="center"/>
            </w:pPr>
            <w:r/>
            <w:r>
              <w:rPr>
                <w:rFonts w:ascii="Times New Roman" w:hAnsi="Times New Roman" w:eastAsia="宋体"/>
                <w:sz w:val="16"/>
              </w:rPr>
              <w:t>1.00</w:t>
            </w:r>
          </w:p>
        </w:tc>
        <w:tc>
          <w:tcPr>
            <w:tcW w:type="dxa" w:w="936"/>
            <w:shd w:fill="EBF5FB"/>
          </w:tcPr>
          <w:p>
            <w:pPr>
              <w:jc w:val="center"/>
            </w:pPr>
            <w:r/>
            <w:r>
              <w:rPr>
                <w:rFonts w:ascii="Times New Roman" w:hAnsi="Times New Roman" w:eastAsia="宋体"/>
                <w:sz w:val="16"/>
              </w:rPr>
              <w:t>normal</w:t>
            </w:r>
          </w:p>
        </w:tc>
      </w:tr>
      <w:tr>
        <w:tc>
          <w:tcPr>
            <w:tcW w:type="dxa" w:w="936"/>
          </w:tcPr>
          <w:p>
            <w:pPr>
              <w:jc w:val="center"/>
            </w:pPr>
            <w:r/>
            <w:r>
              <w:rPr>
                <w:rFonts w:ascii="Times New Roman" w:hAnsi="Times New Roman" w:eastAsia="宋体"/>
                <w:sz w:val="16"/>
              </w:rPr>
              <w:t>典型</w:t>
            </w:r>
          </w:p>
        </w:tc>
        <w:tc>
          <w:tcPr>
            <w:tcW w:type="dxa" w:w="936"/>
          </w:tcPr>
          <w:p>
            <w:pPr>
              <w:jc w:val="center"/>
            </w:pPr>
            <w:r/>
            <w:r>
              <w:rPr>
                <w:rFonts w:ascii="Times New Roman" w:hAnsi="Times New Roman" w:eastAsia="宋体"/>
                <w:sz w:val="16"/>
              </w:rPr>
              <w:t>球体</w:t>
            </w:r>
          </w:p>
        </w:tc>
        <w:tc>
          <w:tcPr>
            <w:tcW w:type="dxa" w:w="936"/>
          </w:tcPr>
          <w:p>
            <w:pPr>
              <w:jc w:val="center"/>
            </w:pPr>
            <w:r/>
            <w:r>
              <w:rPr>
                <w:rFonts w:ascii="Times New Roman" w:hAnsi="Times New Roman" w:eastAsia="宋体"/>
                <w:sz w:val="16"/>
              </w:rPr>
              <w:t>1/6</w:t>
            </w:r>
          </w:p>
        </w:tc>
        <w:tc>
          <w:tcPr>
            <w:tcW w:type="dxa" w:w="936"/>
          </w:tcPr>
          <w:p>
            <w:pPr>
              <w:jc w:val="center"/>
            </w:pPr>
            <w:r/>
            <w:r>
              <w:rPr>
                <w:rFonts w:ascii="Times New Roman" w:hAnsi="Times New Roman" w:eastAsia="宋体"/>
                <w:sz w:val="16"/>
              </w:rPr>
              <w:t>九二九五</w:t>
            </w:r>
          </w:p>
        </w:tc>
        <w:tc>
          <w:tcPr>
            <w:tcW w:type="dxa" w:w="936"/>
          </w:tcPr>
          <w:p>
            <w:pPr>
              <w:jc w:val="center"/>
            </w:pPr>
            <w:r/>
            <w:r>
              <w:rPr>
                <w:rFonts w:ascii="Times New Roman" w:hAnsi="Times New Roman" w:eastAsia="宋体"/>
                <w:sz w:val="16"/>
              </w:rPr>
              <w:t>1处</w:t>
            </w:r>
          </w:p>
        </w:tc>
        <w:tc>
          <w:tcPr>
            <w:tcW w:type="dxa" w:w="936"/>
          </w:tcPr>
          <w:p>
            <w:pPr>
              <w:jc w:val="center"/>
            </w:pPr>
            <w:r/>
            <w:r>
              <w:rPr>
                <w:rFonts w:ascii="Times New Roman" w:hAnsi="Times New Roman" w:eastAsia="宋体"/>
                <w:sz w:val="16"/>
              </w:rPr>
              <w:t>2/5</w:t>
            </w:r>
          </w:p>
        </w:tc>
        <w:tc>
          <w:tcPr>
            <w:tcW w:type="dxa" w:w="936"/>
          </w:tcPr>
          <w:p>
            <w:pPr>
              <w:jc w:val="center"/>
            </w:pPr>
            <w:r/>
            <w:r>
              <w:rPr>
                <w:rFonts w:ascii="Times New Roman" w:hAnsi="Times New Roman" w:eastAsia="宋体"/>
                <w:sz w:val="16"/>
              </w:rPr>
              <w:t>2/3</w:t>
            </w:r>
          </w:p>
        </w:tc>
        <w:tc>
          <w:tcPr>
            <w:tcW w:type="dxa" w:w="936"/>
          </w:tcPr>
          <w:p>
            <w:pPr>
              <w:jc w:val="center"/>
            </w:pPr>
            <w:r/>
            <w:r>
              <w:rPr>
                <w:rFonts w:ascii="Times New Roman" w:hAnsi="Times New Roman" w:eastAsia="宋体"/>
                <w:sz w:val="16"/>
              </w:rPr>
              <w:t>0.47</w:t>
            </w:r>
          </w:p>
        </w:tc>
        <w:tc>
          <w:tcPr>
            <w:tcW w:type="dxa" w:w="936"/>
          </w:tcPr>
          <w:p>
            <w:pPr>
              <w:jc w:val="center"/>
            </w:pPr>
            <w:r/>
            <w:r>
              <w:rPr>
                <w:rFonts w:ascii="Times New Roman" w:hAnsi="Times New Roman" w:eastAsia="宋体"/>
                <w:sz w:val="16"/>
              </w:rPr>
              <w:t>0.90</w:t>
            </w:r>
          </w:p>
        </w:tc>
        <w:tc>
          <w:tcPr>
            <w:tcW w:type="dxa" w:w="936"/>
          </w:tcPr>
          <w:p>
            <w:pPr>
              <w:jc w:val="center"/>
            </w:pPr>
            <w:r/>
            <w:r>
              <w:rPr>
                <w:rFonts w:ascii="Times New Roman" w:hAnsi="Times New Roman" w:eastAsia="宋体"/>
                <w:sz w:val="16"/>
              </w:rPr>
              <w:t>cautious</w:t>
            </w:r>
          </w:p>
        </w:tc>
      </w:tr>
      <w:tr>
        <w:tc>
          <w:tcPr>
            <w:tcW w:type="dxa" w:w="936"/>
            <w:shd w:fill="EBF5FB"/>
          </w:tcPr>
          <w:p>
            <w:pPr>
              <w:jc w:val="center"/>
            </w:pPr>
            <w:r/>
            <w:r>
              <w:rPr>
                <w:rFonts w:ascii="Times New Roman" w:hAnsi="Times New Roman" w:eastAsia="宋体"/>
                <w:sz w:val="16"/>
              </w:rPr>
              <w:t>最差</w:t>
            </w:r>
          </w:p>
        </w:tc>
        <w:tc>
          <w:tcPr>
            <w:tcW w:type="dxa" w:w="936"/>
            <w:shd w:fill="EBF5FB"/>
          </w:tcPr>
          <w:p>
            <w:pPr>
              <w:jc w:val="center"/>
            </w:pPr>
            <w:r/>
            <w:r>
              <w:rPr>
                <w:rFonts w:ascii="Times New Roman" w:hAnsi="Times New Roman" w:eastAsia="宋体"/>
                <w:sz w:val="16"/>
              </w:rPr>
              <w:t>石块</w:t>
            </w:r>
          </w:p>
        </w:tc>
        <w:tc>
          <w:tcPr>
            <w:tcW w:type="dxa" w:w="936"/>
            <w:shd w:fill="EBF5FB"/>
          </w:tcPr>
          <w:p>
            <w:pPr>
              <w:jc w:val="center"/>
            </w:pPr>
            <w:r/>
            <w:r>
              <w:rPr>
                <w:rFonts w:ascii="Times New Roman" w:hAnsi="Times New Roman" w:eastAsia="宋体"/>
                <w:sz w:val="16"/>
              </w:rPr>
              <w:t>0/6</w:t>
            </w:r>
          </w:p>
        </w:tc>
        <w:tc>
          <w:tcPr>
            <w:tcW w:type="dxa" w:w="936"/>
            <w:shd w:fill="EBF5FB"/>
          </w:tcPr>
          <w:p>
            <w:pPr>
              <w:jc w:val="center"/>
            </w:pPr>
            <w:r/>
            <w:r>
              <w:rPr>
                <w:rFonts w:ascii="Times New Roman" w:hAnsi="Times New Roman" w:eastAsia="宋体"/>
                <w:sz w:val="16"/>
              </w:rPr>
              <w:t>九二九五</w:t>
            </w:r>
          </w:p>
        </w:tc>
        <w:tc>
          <w:tcPr>
            <w:tcW w:type="dxa" w:w="936"/>
            <w:shd w:fill="EBF5FB"/>
          </w:tcPr>
          <w:p>
            <w:pPr>
              <w:jc w:val="center"/>
            </w:pPr>
            <w:r/>
            <w:r>
              <w:rPr>
                <w:rFonts w:ascii="Times New Roman" w:hAnsi="Times New Roman" w:eastAsia="宋体"/>
                <w:sz w:val="16"/>
              </w:rPr>
              <w:t>2处</w:t>
            </w:r>
          </w:p>
        </w:tc>
        <w:tc>
          <w:tcPr>
            <w:tcW w:type="dxa" w:w="936"/>
            <w:shd w:fill="EBF5FB"/>
          </w:tcPr>
          <w:p>
            <w:pPr>
              <w:jc w:val="center"/>
            </w:pPr>
            <w:r/>
            <w:r>
              <w:rPr>
                <w:rFonts w:ascii="Times New Roman" w:hAnsi="Times New Roman" w:eastAsia="宋体"/>
                <w:sz w:val="16"/>
              </w:rPr>
              <w:t>2/5</w:t>
            </w:r>
          </w:p>
        </w:tc>
        <w:tc>
          <w:tcPr>
            <w:tcW w:type="dxa" w:w="936"/>
            <w:shd w:fill="EBF5FB"/>
          </w:tcPr>
          <w:p>
            <w:pPr>
              <w:jc w:val="center"/>
            </w:pPr>
            <w:r/>
            <w:r>
              <w:rPr>
                <w:rFonts w:ascii="Times New Roman" w:hAnsi="Times New Roman" w:eastAsia="宋体"/>
                <w:sz w:val="16"/>
              </w:rPr>
              <w:t>3/3</w:t>
            </w:r>
          </w:p>
        </w:tc>
        <w:tc>
          <w:tcPr>
            <w:tcW w:type="dxa" w:w="936"/>
            <w:shd w:fill="EBF5FB"/>
          </w:tcPr>
          <w:p>
            <w:pPr>
              <w:jc w:val="center"/>
            </w:pPr>
            <w:r/>
            <w:r>
              <w:rPr>
                <w:rFonts w:ascii="Times New Roman" w:hAnsi="Times New Roman" w:eastAsia="宋体"/>
                <w:sz w:val="16"/>
              </w:rPr>
              <w:t>0.38</w:t>
            </w:r>
          </w:p>
        </w:tc>
        <w:tc>
          <w:tcPr>
            <w:tcW w:type="dxa" w:w="936"/>
            <w:shd w:fill="EBF5FB"/>
          </w:tcPr>
          <w:p>
            <w:pPr>
              <w:jc w:val="center"/>
            </w:pPr>
            <w:r/>
            <w:r>
              <w:rPr>
                <w:rFonts w:ascii="Times New Roman" w:hAnsi="Times New Roman" w:eastAsia="宋体"/>
                <w:sz w:val="16"/>
              </w:rPr>
              <w:t>0.85</w:t>
            </w:r>
          </w:p>
        </w:tc>
        <w:tc>
          <w:tcPr>
            <w:tcW w:type="dxa" w:w="936"/>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实验二结果分析</w:t>
      </w:r>
    </w:p>
    <w:p>
      <w:pPr>
        <w:ind w:firstLine="420"/>
      </w:pPr>
      <w:r>
        <w:rPr>
          <w:rFonts w:ascii="Times New Roman" w:hAnsi="Times New Roman" w:eastAsia="宋体"/>
          <w:sz w:val="22"/>
        </w:rPr>
        <w:t>爻位关系运算成功实现了三项预期功能：</w:t>
      </w:r>
    </w:p>
    <w:p>
      <w:pPr>
        <w:ind w:firstLine="420"/>
      </w:pPr>
      <w:r>
        <w:rPr>
          <w:rFonts w:ascii="Times New Roman" w:hAnsi="Times New Roman" w:eastAsia="宋体"/>
          <w:sz w:val="22"/>
        </w:rPr>
        <w:t>（1）不稳定性识别：石块案例中0/6爻当位、2处阴乘阳，系统自动将力修正系数降至0.85（降低15%力预设），并给出"多爻不当位，状态不稳"和"阴乘阳，力阻力增大"的可解释建议。这一修正完全从爻位关系推导得出，无需任何训练数据，却符合物理直觉——不规则石块确实需要更谨慎的操作。</w:t>
      </w:r>
    </w:p>
    <w:p>
      <w:pPr>
        <w:ind w:firstLine="420"/>
      </w:pPr>
      <w:r>
        <w:rPr>
          <w:rFonts w:ascii="Times New Roman" w:hAnsi="Times New Roman" w:eastAsia="宋体"/>
          <w:sz w:val="22"/>
        </w:rPr>
        <w:t>（2）适度谨慎：52%的情境被标记为"cautious"，平均力修正系数0.94。这说明爻位关系运算识别出了物理世界中普遍存在的不完美状态，而非盲目假设一切理想。适度下调力预设是一个安全导向的保守策略——在实际机器人操作中宁可力小重试也不可力大损坏物体。</w:t>
      </w:r>
    </w:p>
    <w:p>
      <w:pPr>
        <w:ind w:firstLine="420"/>
      </w:pPr>
      <w:r>
        <w:rPr>
          <w:rFonts w:ascii="Times New Roman" w:hAnsi="Times New Roman" w:eastAsia="宋体"/>
          <w:sz w:val="22"/>
        </w:rPr>
        <w:t>（3）可解释性验证：每一个修正建议都有明确的爻位依据。例如"阴乘阳"→力阻力增大，"上下无应"→策略确信度降低，"多爻不当位"→状态不稳。这些对应关系源自《周易》数千年的情境分类经验，在工程语境中展现出惊人的适用性和直觉合理性。</w:t>
      </w:r>
    </w:p>
    <w:p>
      <w:r>
        <w:br w:type="page"/>
      </w:r>
    </w:p>
    <w:p>
      <w:pPr>
        <w:pStyle w:val="Heading2"/>
      </w:pPr>
      <w:r>
        <w:rPr>
          <w:rFonts w:ascii="Times New Roman" w:hAnsi="Times New Roman" w:eastAsia="黑体"/>
          <w:sz w:val="30"/>
        </w:rPr>
        <w:t>4.4 综合性能对比</w:t>
      </w:r>
    </w:p>
    <w:p>
      <w:pPr>
        <w:ind w:firstLine="420"/>
      </w:pPr>
      <w:r>
        <w:rPr>
          <w:rFonts w:ascii="Times New Roman" w:hAnsi="Times New Roman" w:eastAsia="宋体"/>
          <w:sz w:val="22"/>
        </w:rPr>
        <w:t>表13将YLYW与代表性VLA模型进行了间接比较。需要注意的是：这不是直接公平对比（YLYW仅在合成数据上评估），但清晰揭示了知识驱动方法在数据效率、推理成本和可解释性三个维度上的根本性优势。</w:t>
      </w:r>
    </w:p>
    <w:p>
      <w:pPr>
        <w:jc w:val="center"/>
      </w:pPr>
      <w:r>
        <w:rPr>
          <w:rFonts w:ascii="Times New Roman" w:hAnsi="Times New Roman" w:eastAsia="黑体"/>
          <w:b/>
          <w:sz w:val="18"/>
        </w:rPr>
        <w:t>表13. YLYW与代表性VLA模型的间接比较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训练数据需求</w:t>
            </w:r>
          </w:p>
        </w:tc>
        <w:tc>
          <w:tcPr>
            <w:tcW w:type="dxa" w:w="3120"/>
            <w:shd w:fill="EBF5FB"/>
          </w:tcPr>
          <w:p>
            <w:pPr>
              <w:jc w:val="center"/>
            </w:pPr>
            <w:r/>
            <w:r>
              <w:rPr>
                <w:rFonts w:ascii="Times New Roman" w:hAnsi="Times New Roman" w:eastAsia="宋体"/>
                <w:sz w:val="16"/>
              </w:rPr>
              <w:t>10⁴ – 10⁶ 机器人轨迹</w:t>
            </w:r>
          </w:p>
        </w:tc>
        <w:tc>
          <w:tcPr>
            <w:tcW w:type="dxa" w:w="3120"/>
            <w:shd w:fill="EBF5FB"/>
          </w:tcPr>
          <w:p>
            <w:pPr>
              <w:jc w:val="center"/>
            </w:pPr>
            <w:r/>
            <w:r>
              <w:rPr>
                <w:rFonts w:ascii="Times New Roman" w:hAnsi="Times New Roman" w:eastAsia="宋体"/>
                <w:sz w:val="16"/>
              </w:rPr>
              <w:t>0（纯先验，零样本）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GPU集群（A100/H100）</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数万行（含训练框架）</w:t>
            </w:r>
          </w:p>
        </w:tc>
        <w:tc>
          <w:tcPr>
            <w:tcW w:type="dxa" w:w="3120"/>
            <w:shd w:fill="EBF5FB"/>
          </w:tcPr>
          <w:p>
            <w:pPr>
              <w:jc w:val="center"/>
            </w:pPr>
            <w:r/>
            <w:r>
              <w:rPr>
                <w:rFonts w:ascii="Times New Roman" w:hAnsi="Times New Roman" w:eastAsia="宋体"/>
                <w:sz w:val="16"/>
              </w:rPr>
              <w:t>约2,200行Python</w:t>
            </w:r>
          </w:p>
        </w:tc>
      </w:tr>
      <w:tr>
        <w:tc>
          <w:tcPr>
            <w:tcW w:type="dxa" w:w="3120"/>
          </w:tcPr>
          <w:p>
            <w:pPr>
              <w:jc w:val="center"/>
            </w:pPr>
            <w:r/>
            <w:r>
              <w:rPr>
                <w:rFonts w:ascii="Times New Roman" w:hAnsi="Times New Roman" w:eastAsia="宋体"/>
                <w:sz w:val="16"/>
              </w:rPr>
              <w:t>模型/知识库大小</w:t>
            </w:r>
          </w:p>
        </w:tc>
        <w:tc>
          <w:tcPr>
            <w:tcW w:type="dxa" w:w="3120"/>
          </w:tcPr>
          <w:p>
            <w:pPr>
              <w:jc w:val="center"/>
            </w:pPr>
            <w:r/>
            <w:r>
              <w:rPr>
                <w:rFonts w:ascii="Times New Roman" w:hAnsi="Times New Roman" w:eastAsia="宋体"/>
                <w:sz w:val="16"/>
              </w:rPr>
              <w:t>100MB – 10GB</w:t>
            </w:r>
          </w:p>
        </w:tc>
        <w:tc>
          <w:tcPr>
            <w:tcW w:type="dxa" w:w="3120"/>
          </w:tcPr>
          <w:p>
            <w:pPr>
              <w:jc w:val="center"/>
            </w:pPr>
            <w:r/>
            <w:r>
              <w:rPr>
                <w:rFonts w:ascii="Times New Roman" w:hAnsi="Times New Roman" w:eastAsia="宋体"/>
                <w:sz w:val="16"/>
              </w:rPr>
              <w:t>约80KB</w:t>
            </w:r>
          </w:p>
        </w:tc>
      </w:tr>
      <w:tr>
        <w:tc>
          <w:tcPr>
            <w:tcW w:type="dxa" w:w="3120"/>
            <w:shd w:fill="EBF5FB"/>
          </w:tcPr>
          <w:p>
            <w:pPr>
              <w:jc w:val="center"/>
            </w:pPr>
            <w:r/>
            <w:r>
              <w:rPr>
                <w:rFonts w:ascii="Times New Roman" w:hAnsi="Times New Roman" w:eastAsia="宋体"/>
                <w:sz w:val="16"/>
              </w:rPr>
              <w:t>单次推理延迟</w:t>
            </w:r>
          </w:p>
        </w:tc>
        <w:tc>
          <w:tcPr>
            <w:tcW w:type="dxa" w:w="3120"/>
            <w:shd w:fill="EBF5FB"/>
          </w:tcPr>
          <w:p>
            <w:pPr>
              <w:jc w:val="center"/>
            </w:pPr>
            <w:r/>
            <w:r>
              <w:rPr>
                <w:rFonts w:ascii="Times New Roman" w:hAnsi="Times New Roman" w:eastAsia="宋体"/>
                <w:sz w:val="16"/>
              </w:rPr>
              <w:t>10 – 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黑箱（注意力图辅助）</w:t>
            </w:r>
          </w:p>
        </w:tc>
        <w:tc>
          <w:tcPr>
            <w:tcW w:type="dxa" w:w="3120"/>
          </w:tcPr>
          <w:p>
            <w:pPr>
              <w:jc w:val="center"/>
            </w:pPr>
            <w:r/>
            <w:r>
              <w:rPr>
                <w:rFonts w:ascii="Times New Roman" w:hAnsi="Times New Roman" w:eastAsia="宋体"/>
                <w:sz w:val="16"/>
              </w:rPr>
              <w:t>卦→爻→辞全链追溯</w:t>
            </w:r>
          </w:p>
        </w:tc>
      </w:tr>
      <w:tr>
        <w:tc>
          <w:tcPr>
            <w:tcW w:type="dxa" w:w="3120"/>
            <w:shd w:fill="EBF5FB"/>
          </w:tcPr>
          <w:p>
            <w:pPr>
              <w:jc w:val="center"/>
            </w:pPr>
            <w:r/>
            <w:r>
              <w:rPr>
                <w:rFonts w:ascii="Times New Roman" w:hAnsi="Times New Roman" w:eastAsia="宋体"/>
                <w:sz w:val="16"/>
              </w:rPr>
              <w:t>物理约束</w:t>
            </w:r>
          </w:p>
        </w:tc>
        <w:tc>
          <w:tcPr>
            <w:tcW w:type="dxa" w:w="3120"/>
            <w:shd w:fill="EBF5FB"/>
          </w:tcPr>
          <w:p>
            <w:pPr>
              <w:jc w:val="center"/>
            </w:pPr>
            <w:r/>
            <w:r>
              <w:rPr>
                <w:rFonts w:ascii="Times New Roman" w:hAnsi="Times New Roman" w:eastAsia="宋体"/>
                <w:sz w:val="16"/>
              </w:rPr>
              <w:t>隐式学习，无保证</w:t>
            </w:r>
          </w:p>
        </w:tc>
        <w:tc>
          <w:tcPr>
            <w:tcW w:type="dxa" w:w="3120"/>
            <w:shd w:fill="EBF5FB"/>
          </w:tcPr>
          <w:p>
            <w:pPr>
              <w:jc w:val="center"/>
            </w:pPr>
            <w:r/>
            <w:r>
              <w:rPr>
                <w:rFonts w:ascii="Times New Roman" w:hAnsi="Times New Roman" w:eastAsia="宋体"/>
                <w:sz w:val="16"/>
              </w:rPr>
              <w:t>显式嵌入（L3+爻位修正）</w:t>
            </w:r>
          </w:p>
        </w:tc>
      </w:tr>
      <w:tr>
        <w:tc>
          <w:tcPr>
            <w:tcW w:type="dxa" w:w="3120"/>
          </w:tcPr>
          <w:p>
            <w:pPr>
              <w:jc w:val="center"/>
            </w:pPr>
            <w:r/>
            <w:r>
              <w:rPr>
                <w:rFonts w:ascii="Times New Roman" w:hAnsi="Times New Roman" w:eastAsia="宋体"/>
                <w:sz w:val="16"/>
              </w:rPr>
              <w:t>零样本合理率</w:t>
            </w:r>
          </w:p>
        </w:tc>
        <w:tc>
          <w:tcPr>
            <w:tcW w:type="dxa" w:w="3120"/>
          </w:tcPr>
          <w:p>
            <w:pPr>
              <w:jc w:val="center"/>
            </w:pPr>
            <w:r/>
            <w:r>
              <w:rPr>
                <w:rFonts w:ascii="Times New Roman" w:hAnsi="Times New Roman" w:eastAsia="宋体"/>
                <w:sz w:val="16"/>
              </w:rPr>
              <w:t>—（无法零样本）</w:t>
            </w:r>
          </w:p>
        </w:tc>
        <w:tc>
          <w:tcPr>
            <w:tcW w:type="dxa" w:w="3120"/>
          </w:tcPr>
          <w:p>
            <w:pPr>
              <w:jc w:val="center"/>
            </w:pPr>
            <w:r/>
            <w:r>
              <w:rPr>
                <w:rFonts w:ascii="Times New Roman" w:hAnsi="Times New Roman" w:eastAsia="宋体"/>
                <w:sz w:val="16"/>
              </w:rPr>
              <w:t>90.0%</w:t>
            </w:r>
          </w:p>
        </w:tc>
      </w:tr>
      <w:tr>
        <w:tc>
          <w:tcPr>
            <w:tcW w:type="dxa" w:w="3120"/>
            <w:shd w:fill="EBF5FB"/>
          </w:tcPr>
          <w:p>
            <w:pPr>
              <w:jc w:val="center"/>
            </w:pPr>
            <w:r/>
            <w:r>
              <w:rPr>
                <w:rFonts w:ascii="Times New Roman" w:hAnsi="Times New Roman" w:eastAsia="宋体"/>
                <w:sz w:val="16"/>
              </w:rPr>
              <w:t>严重错误率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0.0%</w:t>
            </w:r>
          </w:p>
        </w:tc>
      </w:tr>
      <w:tr>
        <w:tc>
          <w:tcPr>
            <w:tcW w:type="dxa" w:w="3120"/>
          </w:tcPr>
          <w:p>
            <w:pPr>
              <w:jc w:val="center"/>
            </w:pPr>
            <w:r/>
            <w:r>
              <w:rPr>
                <w:rFonts w:ascii="Times New Roman" w:hAnsi="Times New Roman" w:eastAsia="宋体"/>
                <w:sz w:val="16"/>
              </w:rPr>
              <w:t>参数可调性</w:t>
            </w:r>
          </w:p>
        </w:tc>
        <w:tc>
          <w:tcPr>
            <w:tcW w:type="dxa" w:w="3120"/>
          </w:tcPr>
          <w:p>
            <w:pPr>
              <w:jc w:val="center"/>
            </w:pPr>
            <w:r/>
            <w:r>
              <w:rPr>
                <w:rFonts w:ascii="Times New Roman" w:hAnsi="Times New Roman" w:eastAsia="宋体"/>
                <w:sz w:val="16"/>
              </w:rPr>
              <w:t>重新训练整个模型</w:t>
            </w:r>
          </w:p>
        </w:tc>
        <w:tc>
          <w:tcPr>
            <w:tcW w:type="dxa" w:w="3120"/>
          </w:tcPr>
          <w:p>
            <w:pPr>
              <w:jc w:val="center"/>
            </w:pPr>
            <w:r/>
            <w:r>
              <w:rPr>
                <w:rFonts w:ascii="Times New Roman" w:hAnsi="Times New Roman" w:eastAsia="宋体"/>
                <w:sz w:val="16"/>
              </w:rPr>
              <w:t>爻模板/爻权重可独立微调</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个百分点提升，并非来自"更多的数据"或"更大的模型"，而是来自三个可追溯、可验证的工程步骤：补全卦象（20→42卦）、质心对齐（爻模板重算）、未济极端化（问题卦修复）。每一步都有明确的物理语义支撑。这种"诊断→调参→验证"的闭环在深度学习模型中完全不可能实现——因为其内部表征（潜在向量）没有物理语义。这验证了YLYW的核心方法论价值：可解释性不仅是"事后说明"，更是一种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策略类型），爻位关系决定"怎么做"（力修正与谨慎级别）——这一分工体系是本文的核心方法论贡献之一。传统深度学习模型将策略类型和参数调整混为一谈，统一编码在同一个网络中。YLYW通过分层设计实现了二者的解耦，使得每一层的推理过程都可以独立分析、独立优化和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77.4%）和圆柱体（80.0%）是当前性能最低的两类。石块的特征向量方差极大（形状不规则导致），单质心模板难以充分覆盖所有实例。圆柱体的横放/竖放姿态差异使其爻向量呈双峰分布。这两个问题指向六爻编码层的改进方向——引入姿态感知的特征编码或高斯混合模型来表示多模态分布。此外，当前42/64卦仍有22卦未完成工程转译（主要集中在下经的抽象卦如中孚、小过、归妹等），补齐后预计可将合理率进一步提升5-10%。</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一种基于《易经》先验符号知识的联邦式神经符号具身决策框架。系统将八卦的连续模糊隶属度、六爻编码、六十四卦结构模板和爻位关系运算整合为统一的先验推理引擎，在42/64卦规则库下达到90.0%零样本合理率和0%严重错误率。</w:t>
      </w:r>
    </w:p>
    <w:p>
      <w:pPr>
        <w:ind w:firstLine="420"/>
      </w:pPr>
      <w:r>
        <w:rPr>
          <w:rFonts w:ascii="Times New Roman" w:hAnsi="Times New Roman" w:eastAsia="宋体"/>
          <w:sz w:val="22"/>
        </w:rPr>
        <w:t>本文的核心方法创新在于：（1）爻模板质心优化方法——首次展示了"可解释性作为一种工程工具"的切实价值，通过从直觉赋值到数据驱动先验精化的范式提升，实现了+42%的性能跃迁；（2）爻位关系运算——首次将《周易》中"乘承比应当位得中"五种关系形式化为可计算算子，建立了"卦定策略类型、爻定执行参数"的分层决策体系。</w:t>
      </w:r>
    </w:p>
    <w:p>
      <w:pPr>
        <w:ind w:firstLine="420"/>
      </w:pPr>
      <w:r>
        <w:rPr>
          <w:rFonts w:ascii="Times New Roman" w:hAnsi="Times New Roman" w:eastAsia="宋体"/>
          <w:sz w:val="22"/>
        </w:rPr>
        <w:t>未来工作将集中在：（1）补齐剩余22卦的工程转译；（2）在真实机器人上验证抓取策略；（3）引入物理约束层（逆动力学硬性映射）实现零物理违规保证；（4）构建与LLM的混合架构原型，使YLYW作为可靠的"系统1"直觉核心与大模型的"系统2"长程规划能力形成互补。</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VLA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Black K, et al. π₀: A Vision-Language-Action Flow Model. arXiv:2410.24164, 2024.</w:t>
      </w:r>
    </w:p>
    <w:p>
      <w:pPr>
        <w:spacing w:after="40"/>
      </w:pPr>
      <w:r>
        <w:rPr>
          <w:rFonts w:ascii="Times New Roman" w:hAnsi="Times New Roman" w:eastAsia="宋体"/>
          <w:sz w:val="18"/>
        </w:rPr>
        <w:t>[7] Garcez A, Lamb L C. Neurosymbolic AI: The 3rd Wave. AIR, 2023.</w:t>
      </w:r>
    </w:p>
    <w:p>
      <w:pPr>
        <w:spacing w:after="40"/>
      </w:pPr>
      <w:r>
        <w:rPr>
          <w:rFonts w:ascii="Times New Roman" w:hAnsi="Times New Roman" w:eastAsia="宋体"/>
          <w:sz w:val="18"/>
        </w:rPr>
        <w:t>[8] Manhaeve R, et al. DeepProbLog: Neural Probabilistic Logic Programming. NeurIPS, 2018.</w:t>
      </w:r>
    </w:p>
    <w:p>
      <w:pPr>
        <w:spacing w:after="40"/>
      </w:pPr>
      <w:r>
        <w:rPr>
          <w:rFonts w:ascii="Times New Roman" w:hAnsi="Times New Roman" w:eastAsia="宋体"/>
          <w:sz w:val="18"/>
        </w:rPr>
        <w:t>[9] Badreddine S, et al. Logic Tensor Networks. AIJ, 2022.</w:t>
      </w:r>
    </w:p>
    <w:p>
      <w:pPr>
        <w:spacing w:after="40"/>
      </w:pPr>
      <w:r>
        <w:rPr>
          <w:rFonts w:ascii="Times New Roman" w:hAnsi="Times New Roman" w:eastAsia="宋体"/>
          <w:sz w:val="18"/>
        </w:rPr>
        <w:t>[10] van Krieken E, et al. Analyzing Differentiable Fuzzy Logic Operators. AIJ, 2022.</w:t>
      </w:r>
    </w:p>
    <w:p>
      <w:pPr>
        <w:spacing w:after="40"/>
      </w:pPr>
      <w:r>
        <w:rPr>
          <w:rFonts w:ascii="Times New Roman" w:hAnsi="Times New Roman" w:eastAsia="宋体"/>
          <w:sz w:val="18"/>
        </w:rPr>
        <w:t>[11] Morrison D, et al. Closing the Loop for Robotic Grasping. RSS, 2018.</w:t>
      </w:r>
    </w:p>
    <w:p>
      <w:pPr>
        <w:spacing w:after="40"/>
      </w:pPr>
      <w:r>
        <w:rPr>
          <w:rFonts w:ascii="Times New Roman" w:hAnsi="Times New Roman" w:eastAsia="宋体"/>
          <w:sz w:val="18"/>
        </w:rPr>
        <w:t>[12] Fang H S, et al. GraspNet-1Billion. CVPR, 2020.</w:t>
      </w:r>
    </w:p>
    <w:p>
      <w:pPr>
        <w:spacing w:after="40"/>
      </w:pPr>
      <w:r>
        <w:rPr>
          <w:rFonts w:ascii="Times New Roman" w:hAnsi="Times New Roman" w:eastAsia="宋体"/>
          <w:sz w:val="18"/>
        </w:rPr>
        <w:t>[13] Fang H S, et al. AnyGrasp. IEEE TRO, 2023.</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[14] 王弼（魏）. 周易注.</w:t>
      </w:r>
    </w:p>
    <w:p>
      <w:pPr>
        <w:spacing w:after="40"/>
      </w:pPr>
      <w:r>
        <w:rPr>
          <w:rFonts w:ascii="Times New Roman" w:hAnsi="Times New Roman" w:eastAsia="宋体"/>
          <w:sz w:val="18"/>
        </w:rPr>
        <w:t>[15] 孔颖达（唐）. 周易正义.</w:t>
      </w:r>
    </w:p>
    <w:p>
      <w:pPr>
        <w:spacing w:after="40"/>
      </w:pPr>
      <w:r>
        <w:rPr>
          <w:rFonts w:ascii="Times New Roman" w:hAnsi="Times New Roman" w:eastAsia="宋体"/>
          <w:sz w:val="18"/>
        </w:rPr>
        <w:t>[16] 程颐（宋）. 程氏易传.</w:t>
      </w:r>
    </w:p>
    <w:p>
      <w:pPr>
        <w:spacing w:after="40"/>
      </w:pPr>
      <w:r>
        <w:rPr>
          <w:rFonts w:ascii="Times New Roman" w:hAnsi="Times New Roman" w:eastAsia="宋体"/>
          <w:sz w:val="18"/>
        </w:rPr>
        <w:t>[17] 朱熹（宋）. 周易本义.</w:t>
      </w:r>
    </w:p>
    <w:p>
      <w:pPr>
        <w:spacing w:after="40"/>
      </w:pPr>
      <w:r>
        <w:rPr>
          <w:rFonts w:ascii="Times New Roman" w:hAnsi="Times New Roman" w:eastAsia="宋体"/>
          <w:sz w:val="18"/>
        </w:rPr>
        <w:t>[18] 黄寿祺, 张善文. 周易译注. 上海古籍出版社, 2007.</w:t>
      </w:r>
    </w:p>
    <w:p>
      <w:pPr>
        <w:spacing w:after="40"/>
      </w:pPr>
      <w:r>
        <w:rPr>
          <w:rFonts w:ascii="Times New Roman" w:hAnsi="Times New Roman" w:eastAsia="宋体"/>
          <w:sz w:val="18"/>
        </w:rPr>
        <w:t>[19] 高亨. 周易古经今注. 中华书局, 1984.</w:t>
      </w:r>
    </w:p>
    <w:p>
      <w:pPr>
        <w:spacing w:after="40"/>
      </w:pPr>
      <w:r>
        <w:rPr>
          <w:rFonts w:ascii="Times New Roman" w:hAnsi="Times New Roman" w:eastAsia="宋体"/>
          <w:sz w:val="18"/>
        </w:rPr>
        <w:t>[20]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v0.4（完整学术版）| 日期: 2026年6月1日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