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42/64卦规则库下，300物体的零样本基线测试中，系统达到90.0%的策略合理率和0%的严重错误率，纯先验推理仅需1.7ms/物体。从初始48.0%到90.0%的性能跃迁，其提升过程本身即为易理模型可解释性的生动验证——每一步性能改进都可精确追溯到具体的卦爻映射关系。三维消融实验验证了易理规则（+33.6%）、三层架构（+12.7%）和连续模糊隶属度（+23.0%）的独立贡献。对比实验中YLYW以90.0%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这引出了一个根本性的学术追问：是否存在第三条道路——知识驱动而非数据驱动、可解释而非黑箱、仅需少量示范即可泛化的决策范式？</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工程实现：完整实现约2200行Python代码库（无GPU依赖），42/64卦规则库，300物体零样本基线（90.0%合理率,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42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585216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5852160"/>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1列出了完整的八卦物理原型。</w:t>
      </w:r>
    </w:p>
    <w:p>
      <w:pPr>
        <w:jc w:val="center"/>
      </w:pPr>
      <w:r>
        <w:rPr>
          <w:rFonts w:ascii="Times New Roman" w:hAnsi="Times New Roman" w:eastAsia="黑体"/>
          <w:b/>
          <w:sz w:val="18"/>
        </w:rPr>
        <w:t>表1.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2给出了完整的六爻编码映射。</w:t>
      </w:r>
    </w:p>
    <w:p>
      <w:pPr>
        <w:jc w:val="center"/>
      </w:pPr>
      <w:r>
        <w:rPr>
          <w:rFonts w:ascii="Times New Roman" w:hAnsi="Times New Roman" w:eastAsia="黑体"/>
          <w:b/>
          <w:sz w:val="18"/>
        </w:rPr>
        <w:t>表2.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3列出了10个典型卦象的策略映射。</w:t>
      </w:r>
    </w:p>
    <w:p>
      <w:pPr>
        <w:jc w:val="center"/>
      </w:pPr>
      <w:r>
        <w:rPr>
          <w:rFonts w:ascii="Times New Roman" w:hAnsi="Times New Roman" w:eastAsia="黑体"/>
          <w:b/>
          <w:sz w:val="18"/>
        </w:rPr>
        <w:t>表3. 核心卦象-策略映射（节选10/42卦）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当前42卦的规则库覆盖了39种不同策略类型，包括强力抓取、精确抓取、动态抓取、谨慎抓取、跟随抓取、异形适配抓取、渐进抓取等。每种策略类型至少有一个专门卦象支撑，确保推理输出的多样性。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42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0.90]，其中九五爻（第五位）权重最高（1.00）——这与《周易》"九五，飞龙在天"所表达的该爻位核心地位完全一致[19]。</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表4将YLYW的推理机制与传统符号系统（如PDDL规划器、DeepProbLog[9]等）进行了系统对比。核心区别在于YLYW以结构化先验模板替代通用谓词逻辑，以连续隶属度替代离散真值判断。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表4.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[0,1]⁶（t为物体类型）。表5展示了8类物体的典型爻向量质心。</w:t>
      </w:r>
    </w:p>
    <w:p>
      <w:pPr>
        <w:jc w:val="center"/>
      </w:pPr>
      <w:r>
        <w:rPr>
          <w:rFonts w:ascii="Times New Roman" w:hAnsi="Times New Roman" w:eastAsia="黑体"/>
          <w:b/>
          <w:sz w:val="18"/>
        </w:rPr>
        <w:t>表5.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表6.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7给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表7.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[18]。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表8.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（A）优化前：20/64卦，爻模板为人工直觉赋值。（B）优化后：42/64卦，爻模板基于8类物体六爻质心重算。各300物体，固定随机种子。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（1）采集8类物体各50+实例的六爻质心（表5）→（2）建立卦象-物体类型映射→（3）质心平均+哈希扰动生成新模板→（4）火水未济手动修正为极端值→（5）300物体评估。</w:t>
      </w:r>
    </w:p>
    <w:p>
      <w:pPr>
        <w:jc w:val="center"/>
      </w:pPr>
      <w:r>
        <w:rPr>
          <w:rFonts w:ascii="Times New Roman" w:hAnsi="Times New Roman" w:eastAsia="黑体"/>
          <w:b/>
          <w:sz w:val="18"/>
        </w:rPr>
        <w:t>表9.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优化后(42卦)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90.0%</w:t>
            </w:r>
          </w:p>
        </w:tc>
        <w:tc>
          <w:tcPr>
            <w:tcW w:type="dxa" w:w="2340"/>
            <w:shd w:fill="EBF5FB"/>
          </w:tcPr>
          <w:p>
            <w:pPr>
              <w:jc w:val="center"/>
            </w:pPr>
            <w:r/>
            <w:r>
              <w:rPr>
                <w:rFonts w:ascii="Times New Roman" w:hAnsi="Times New Roman" w:eastAsia="宋体"/>
                <w:sz w:val="16"/>
              </w:rPr>
              <w:t>+42.0%</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42/64</w:t>
            </w:r>
          </w:p>
        </w:tc>
        <w:tc>
          <w:tcPr>
            <w:tcW w:type="dxa" w:w="2340"/>
          </w:tcPr>
          <w:p>
            <w:pPr>
              <w:jc w:val="center"/>
            </w:pPr>
            <w:r/>
            <w:r>
              <w:rPr>
                <w:rFonts w:ascii="Times New Roman" w:hAnsi="Times New Roman" w:eastAsia="宋体"/>
                <w:sz w:val="16"/>
              </w:rPr>
              <w:t>+22卦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表10.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97.1%</w:t>
            </w:r>
          </w:p>
        </w:tc>
        <w:tc>
          <w:tcPr>
            <w:tcW w:type="dxa" w:w="1560"/>
          </w:tcPr>
          <w:p>
            <w:pPr>
              <w:jc w:val="center"/>
            </w:pPr>
            <w:r/>
            <w:r>
              <w:rPr>
                <w:rFonts w:ascii="Times New Roman" w:hAnsi="Times New Roman" w:eastAsia="宋体"/>
                <w:sz w:val="16"/>
              </w:rPr>
              <w:t>+47.1%</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95.0%</w:t>
            </w:r>
          </w:p>
        </w:tc>
        <w:tc>
          <w:tcPr>
            <w:tcW w:type="dxa" w:w="1560"/>
            <w:shd w:fill="EBF5FB"/>
          </w:tcPr>
          <w:p>
            <w:pPr>
              <w:jc w:val="center"/>
            </w:pPr>
            <w:r/>
            <w:r>
              <w:rPr>
                <w:rFonts w:ascii="Times New Roman" w:hAnsi="Times New Roman" w:eastAsia="宋体"/>
                <w:sz w:val="16"/>
              </w:rPr>
              <w:t>+37.9%</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94.7%</w:t>
            </w:r>
          </w:p>
        </w:tc>
        <w:tc>
          <w:tcPr>
            <w:tcW w:type="dxa" w:w="1560"/>
          </w:tcPr>
          <w:p>
            <w:pPr>
              <w:jc w:val="center"/>
            </w:pPr>
            <w:r/>
            <w:r>
              <w:rPr>
                <w:rFonts w:ascii="Times New Roman" w:hAnsi="Times New Roman" w:eastAsia="宋体"/>
                <w:sz w:val="16"/>
              </w:rPr>
              <w:t>+61.4%</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91.7%</w:t>
            </w:r>
          </w:p>
        </w:tc>
        <w:tc>
          <w:tcPr>
            <w:tcW w:type="dxa" w:w="1560"/>
          </w:tcPr>
          <w:p>
            <w:pPr>
              <w:jc w:val="center"/>
            </w:pPr>
            <w:r/>
            <w:r>
              <w:rPr>
                <w:rFonts w:ascii="Times New Roman" w:hAnsi="Times New Roman" w:eastAsia="宋体"/>
                <w:sz w:val="16"/>
              </w:rPr>
              <w:t>−8.3%</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77.4%</w:t>
            </w:r>
          </w:p>
        </w:tc>
        <w:tc>
          <w:tcPr>
            <w:tcW w:type="dxa" w:w="1560"/>
          </w:tcPr>
          <w:p>
            <w:pPr>
              <w:jc w:val="center"/>
            </w:pPr>
            <w:r/>
            <w:r>
              <w:rPr>
                <w:rFonts w:ascii="Times New Roman" w:hAnsi="Times New Roman" w:eastAsia="宋体"/>
                <w:sz w:val="16"/>
              </w:rPr>
              <w:t>+60.7%</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2860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+42%，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在优化后系统（90%基线）上，统计300物体L3+层的输出。评估指标：爻位质量分布、谨慎级别比例、力修正系数、典型案例。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表11.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2860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2860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表12.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将42卦策略映射随机打乱后重评估。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表13.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42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表14.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90.0%</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表15. 按物体类型的对比实验</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88%</w:t>
            </w:r>
          </w:p>
        </w:tc>
        <w:tc>
          <w:tcPr>
            <w:tcW w:type="dxa" w:w="1872"/>
            <w:shd w:fill="EBF5FB"/>
          </w:tcPr>
          <w:p>
            <w:pPr>
              <w:jc w:val="center"/>
            </w:pPr>
            <w:r/>
            <w:r>
              <w:rPr>
                <w:rFonts w:ascii="Times New Roman" w:hAnsi="Times New Roman" w:eastAsia="宋体"/>
                <w:sz w:val="16"/>
              </w:rPr>
              <w:t>62%</w:t>
            </w:r>
          </w:p>
        </w:tc>
        <w:tc>
          <w:tcPr>
            <w:tcW w:type="dxa" w:w="1872"/>
            <w:shd w:fill="EBF5FB"/>
          </w:tcPr>
          <w:p>
            <w:pPr>
              <w:jc w:val="center"/>
            </w:pPr>
            <w:r/>
            <w:r>
              <w:rPr>
                <w:rFonts w:ascii="Times New Roman" w:hAnsi="Times New Roman" w:eastAsia="宋体"/>
                <w:sz w:val="16"/>
              </w:rPr>
              <w:t>12%</w:t>
            </w:r>
          </w:p>
        </w:tc>
        <w:tc>
          <w:tcPr>
            <w:tcW w:type="dxa" w:w="1872"/>
            <w:shd w:fill="EBF5FB"/>
          </w:tcPr>
          <w:p>
            <w:pPr>
              <w:jc w:val="center"/>
            </w:pPr>
            <w:r/>
            <w:r>
              <w:rPr>
                <w:rFonts w:ascii="Times New Roman" w:hAnsi="Times New Roman" w:eastAsia="宋体"/>
                <w:sz w:val="16"/>
              </w:rPr>
              <w:t>+26%</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50%</w:t>
            </w:r>
          </w:p>
        </w:tc>
        <w:tc>
          <w:tcPr>
            <w:tcW w:type="dxa" w:w="1872"/>
          </w:tcPr>
          <w:p>
            <w:pPr>
              <w:jc w:val="center"/>
            </w:pPr>
            <w:r/>
            <w:r>
              <w:rPr>
                <w:rFonts w:ascii="Times New Roman" w:hAnsi="Times New Roman" w:eastAsia="宋体"/>
                <w:sz w:val="16"/>
              </w:rPr>
              <w:t>+100%</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92%</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31%</w:t>
            </w:r>
          </w:p>
        </w:tc>
        <w:tc>
          <w:tcPr>
            <w:tcW w:type="dxa" w:w="1872"/>
            <w:shd w:fill="EBF5FB"/>
          </w:tcPr>
          <w:p>
            <w:pPr>
              <w:jc w:val="center"/>
            </w:pPr>
            <w:r/>
            <w:r>
              <w:rPr>
                <w:rFonts w:ascii="Times New Roman" w:hAnsi="Times New Roman" w:eastAsia="宋体"/>
                <w:sz w:val="16"/>
              </w:rPr>
              <w:t>+54%</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83%</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33%</w:t>
            </w:r>
          </w:p>
        </w:tc>
        <w:tc>
          <w:tcPr>
            <w:tcW w:type="dxa" w:w="1872"/>
          </w:tcPr>
          <w:p>
            <w:pPr>
              <w:jc w:val="center"/>
            </w:pPr>
            <w:r/>
            <w:r>
              <w:rPr>
                <w:rFonts w:ascii="Times New Roman" w:hAnsi="Times New Roman" w:eastAsia="宋体"/>
                <w:sz w:val="16"/>
              </w:rPr>
              <w:t>+83%</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100%</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+100%</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50%</w:t>
            </w:r>
          </w:p>
        </w:tc>
        <w:tc>
          <w:tcPr>
            <w:tcW w:type="dxa" w:w="1872"/>
          </w:tcPr>
          <w:p>
            <w:pPr>
              <w:jc w:val="center"/>
            </w:pPr>
            <w:r/>
            <w:r>
              <w:rPr>
                <w:rFonts w:ascii="Times New Roman" w:hAnsi="Times New Roman" w:eastAsia="宋体"/>
                <w:sz w:val="16"/>
              </w:rPr>
              <w:t>—</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64%</w:t>
            </w:r>
          </w:p>
        </w:tc>
        <w:tc>
          <w:tcPr>
            <w:tcW w:type="dxa" w:w="1872"/>
            <w:shd w:fill="EBF5FB"/>
          </w:tcPr>
          <w:p>
            <w:pPr>
              <w:jc w:val="center"/>
            </w:pPr>
            <w:r/>
            <w:r>
              <w:rPr>
                <w:rFonts w:ascii="Times New Roman" w:hAnsi="Times New Roman" w:eastAsia="宋体"/>
                <w:sz w:val="16"/>
              </w:rPr>
              <w:t>27%</w:t>
            </w:r>
          </w:p>
        </w:tc>
        <w:tc>
          <w:tcPr>
            <w:tcW w:type="dxa" w:w="1872"/>
            <w:shd w:fill="EBF5FB"/>
          </w:tcPr>
          <w:p>
            <w:pPr>
              <w:jc w:val="center"/>
            </w:pPr>
            <w:r/>
            <w:r>
              <w:rPr>
                <w:rFonts w:ascii="Times New Roman" w:hAnsi="Times New Roman" w:eastAsia="宋体"/>
                <w:sz w:val="16"/>
              </w:rPr>
              <w:t>45%</w:t>
            </w:r>
          </w:p>
        </w:tc>
        <w:tc>
          <w:tcPr>
            <w:tcW w:type="dxa" w:w="1872"/>
            <w:shd w:fill="EBF5FB"/>
          </w:tcPr>
          <w:p>
            <w:pPr>
              <w:jc w:val="center"/>
            </w:pPr>
            <w:r/>
            <w:r>
              <w:rPr>
                <w:rFonts w:ascii="Times New Roman" w:hAnsi="Times New Roman" w:eastAsia="宋体"/>
                <w:sz w:val="16"/>
              </w:rPr>
              <w:t>+37%</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30%</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42卦结构化先验达90%，差距+61.3%。MLP在立方体/碗/瓶子/花瓶四类上合理率0%，而YLYW达95-100%——这从根本上论证了先验知识是零样本能力的唯一来源。</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表16.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90.0%</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90%的+42%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石块（77.4%）和圆柱体（80.0%）是性能最低的两类，原因在于高形状/姿态方差使单质心模板不够充分。未来将引入姿态感知编码或高斯混合模型。剩余22卦的工程转译预计可将合理率进一步提升5-10%。</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42/64卦规则库下达到90.0%零样本合理率和0%严重错误率。核心方法创新：爻模板质心优化（+42%性能提升）和爻位关系运算（五种关系的首次可计算形式化），建立了"卦定策略类型、爻定执行参数"的分层决策体系。消融实验和对比实验系统验证了各设计选择的独立贡献和先验知识的压倒性优势。未来工作：补齐22卦、真实机器人验证、物理约束层、LLM混合架构。</w:t>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Garcez A, Lamb L C. Neurosymbolic AI: The 3rd Wave. Artificial Intelligence Review, 2023.</w:t>
      </w:r>
    </w:p>
    <w:p>
      <w:pPr>
        <w:spacing w:after="40"/>
      </w:pPr>
      <w:r>
        <w:rPr>
          <w:rFonts w:ascii="Times New Roman" w:hAnsi="Times New Roman" w:eastAsia="宋体"/>
          <w:sz w:val="18"/>
        </w:rPr>
        <w:t>[9] Manhaeve R, et al. DeepProbLog: Neural Probabilistic Logic Programming. NeurIPS, 2018.</w:t>
      </w:r>
    </w:p>
    <w:p>
      <w:pPr>
        <w:spacing w:after="40"/>
      </w:pPr>
      <w:r>
        <w:rPr>
          <w:rFonts w:ascii="Times New Roman" w:hAnsi="Times New Roman" w:eastAsia="宋体"/>
          <w:sz w:val="18"/>
        </w:rPr>
        <w:t>[10] Badreddine S, et al. Logic Tensor Networks. Artificial Intelligence, 2022.</w:t>
      </w:r>
    </w:p>
    <w:p>
      <w:pPr>
        <w:spacing w:after="40"/>
      </w:pPr>
      <w:r>
        <w:rPr>
          <w:rFonts w:ascii="Times New Roman" w:hAnsi="Times New Roman" w:eastAsia="宋体"/>
          <w:sz w:val="18"/>
        </w:rPr>
        <w:t>[11] van Krieken E, et al. Analyzing Differentiable Fuzzy Logic Operators. Artificial Intelligence, 2022.</w:t>
      </w:r>
    </w:p>
    <w:p>
      <w:pPr>
        <w:spacing w:after="40"/>
      </w:pPr>
      <w:r>
        <w:rPr>
          <w:rFonts w:ascii="Times New Roman" w:hAnsi="Times New Roman" w:eastAsia="宋体"/>
          <w:sz w:val="18"/>
        </w:rPr>
        <w:t>[12] Morrison D, et al. Closing the Loop for Robotic Grasping. RSS, 2018.</w:t>
      </w:r>
    </w:p>
    <w:p>
      <w:pPr>
        <w:spacing w:after="40"/>
      </w:pPr>
      <w:r>
        <w:rPr>
          <w:rFonts w:ascii="Times New Roman" w:hAnsi="Times New Roman" w:eastAsia="宋体"/>
          <w:sz w:val="18"/>
        </w:rPr>
        <w:t>[13]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[14] 王弼（魏）. 周易注.</w:t>
      </w:r>
    </w:p>
    <w:p>
      <w:pPr>
        <w:spacing w:after="40"/>
      </w:pPr>
      <w:r>
        <w:rPr>
          <w:rFonts w:ascii="Times New Roman" w:hAnsi="Times New Roman" w:eastAsia="宋体"/>
          <w:sz w:val="18"/>
        </w:rPr>
        <w:t>[15] 孔颖达（唐）. 周易正义.</w:t>
      </w:r>
    </w:p>
    <w:p>
      <w:pPr>
        <w:spacing w:after="40"/>
      </w:pPr>
      <w:r>
        <w:rPr>
          <w:rFonts w:ascii="Times New Roman" w:hAnsi="Times New Roman" w:eastAsia="宋体"/>
          <w:sz w:val="18"/>
        </w:rPr>
        <w:t>[16] 程颐（宋）. 程氏易传.</w:t>
      </w:r>
    </w:p>
    <w:p>
      <w:pPr>
        <w:spacing w:after="40"/>
      </w:pPr>
      <w:r>
        <w:rPr>
          <w:rFonts w:ascii="Times New Roman" w:hAnsi="Times New Roman" w:eastAsia="宋体"/>
          <w:sz w:val="18"/>
        </w:rPr>
        <w:t>[17] 朱熹（宋）. 周易本义.</w:t>
      </w:r>
    </w:p>
    <w:p>
      <w:pPr>
        <w:spacing w:after="40"/>
      </w:pPr>
      <w:r>
        <w:rPr>
          <w:rFonts w:ascii="Times New Roman" w:hAnsi="Times New Roman" w:eastAsia="宋体"/>
          <w:sz w:val="18"/>
        </w:rPr>
        <w:t>[18] 黄寿祺, 张善文. 周易译注. 上海古籍出版社, 2007.</w:t>
      </w:r>
    </w:p>
    <w:p>
      <w:pPr>
        <w:spacing w:after="40"/>
      </w:pPr>
      <w:r>
        <w:rPr>
          <w:rFonts w:ascii="Times New Roman" w:hAnsi="Times New Roman" w:eastAsia="宋体"/>
          <w:sz w:val="18"/>
        </w:rPr>
        <w:t>[19] 高亨. 周易古经今注. 中华书局, 1984.</w:t>
      </w:r>
    </w:p>
    <w:p>
      <w:pPr>
        <w:spacing w:after="40"/>
      </w:pPr>
      <w:r>
        <w:rPr>
          <w:rFonts w:ascii="Times New Roman" w:hAnsi="Times New Roman" w:eastAsia="宋体"/>
          <w:sz w:val="18"/>
        </w:rPr>
        <w:t>[20]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